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83043" w14:textId="5A53248C" w:rsidR="00050C38" w:rsidRDefault="00B30F63" w:rsidP="00050C38">
      <w:r w:rsidRPr="00C244C7">
        <w:rPr>
          <w:noProof/>
          <w:sz w:val="72"/>
          <w:szCs w:val="72"/>
        </w:rPr>
        <mc:AlternateContent>
          <mc:Choice Requires="wps">
            <w:drawing>
              <wp:anchor distT="45720" distB="45720" distL="114300" distR="114300" simplePos="0" relativeHeight="251683840" behindDoc="0" locked="0" layoutInCell="1" allowOverlap="1" wp14:anchorId="3C3E9188" wp14:editId="64C5AC27">
                <wp:simplePos x="0" y="0"/>
                <wp:positionH relativeFrom="margin">
                  <wp:posOffset>4296654</wp:posOffset>
                </wp:positionH>
                <wp:positionV relativeFrom="paragraph">
                  <wp:posOffset>-419686</wp:posOffset>
                </wp:positionV>
                <wp:extent cx="2360930" cy="962025"/>
                <wp:effectExtent l="0" t="0" r="635" b="952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62025"/>
                        </a:xfrm>
                        <a:prstGeom prst="rect">
                          <a:avLst/>
                        </a:prstGeom>
                        <a:solidFill>
                          <a:srgbClr val="FFFFFF"/>
                        </a:solidFill>
                        <a:ln w="9525">
                          <a:noFill/>
                          <a:miter lim="800000"/>
                          <a:headEnd/>
                          <a:tailEnd/>
                        </a:ln>
                      </wps:spPr>
                      <wps:txbx>
                        <w:txbxContent>
                          <w:p w14:paraId="6E9B8352" w14:textId="77777777" w:rsidR="00B30F63" w:rsidRPr="00C244C7" w:rsidRDefault="00B30F63" w:rsidP="00B30F63">
                            <w:pPr>
                              <w:jc w:val="right"/>
                              <w:rPr>
                                <w:b/>
                              </w:rPr>
                            </w:pPr>
                            <w:r w:rsidRPr="00C244C7">
                              <w:rPr>
                                <w:b/>
                              </w:rPr>
                              <w:t xml:space="preserve">Boîte à outil </w:t>
                            </w:r>
                            <w:r>
                              <w:rPr>
                                <w:b/>
                              </w:rPr>
                              <w:t>de la BDLA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C3E9188" id="_x0000_t202" coordsize="21600,21600" o:spt="202" path="m,l,21600r21600,l21600,xe">
                <v:stroke joinstyle="miter"/>
                <v:path gradientshapeok="t" o:connecttype="rect"/>
              </v:shapetype>
              <v:shape id="Zone de texte 2" o:spid="_x0000_s1026" type="#_x0000_t202" style="position:absolute;margin-left:338.3pt;margin-top:-33.05pt;width:185.9pt;height:75.75pt;z-index:2516838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" stroked="f">
                <v:textbox>
                  <w:txbxContent>
                    <w:p w14:paraId="6E9B8352" w14:textId="77777777" w:rsidR="00B30F63" w:rsidRPr="00C244C7" w:rsidRDefault="00B30F63" w:rsidP="00B30F63">
                      <w:pPr>
                        <w:jc w:val="right"/>
                        <w:rPr>
                          <w:b/>
                        </w:rPr>
                      </w:pPr>
                      <w:r w:rsidRPr="00C244C7">
                        <w:rPr>
                          <w:b/>
                        </w:rPr>
                        <w:t xml:space="preserve">Boîte à outil </w:t>
                      </w:r>
                      <w:r>
                        <w:rPr>
                          <w:b/>
                        </w:rPr>
                        <w:t>de la BDLA</w:t>
                      </w:r>
                    </w:p>
                  </w:txbxContent>
                </v:textbox>
                <w10:wrap anchorx="margin"/>
              </v:shape>
            </w:pict>
          </mc:Fallback>
        </mc:AlternateContent>
      </w:r>
      <w:r>
        <w:rPr>
          <w:noProof/>
          <w:sz w:val="72"/>
          <w:szCs w:val="72"/>
        </w:rPr>
        <w:drawing>
          <wp:anchor distT="0" distB="0" distL="114300" distR="114300" simplePos="0" relativeHeight="251682816" behindDoc="0" locked="0" layoutInCell="1" allowOverlap="1" wp14:anchorId="1D1385F2" wp14:editId="2F8849F5">
            <wp:simplePos x="0" y="0"/>
            <wp:positionH relativeFrom="column">
              <wp:posOffset>-378460</wp:posOffset>
            </wp:positionH>
            <wp:positionV relativeFrom="paragraph">
              <wp:posOffset>-348664</wp:posOffset>
            </wp:positionV>
            <wp:extent cx="1800860" cy="975360"/>
            <wp:effectExtent l="0" t="0" r="8890" b="0"/>
            <wp:wrapNone/>
            <wp:docPr id="10" name="Image 10"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Police, logo, Graphiqu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860" cy="975360"/>
                    </a:xfrm>
                    <a:prstGeom prst="rect">
                      <a:avLst/>
                    </a:prstGeom>
                  </pic:spPr>
                </pic:pic>
              </a:graphicData>
            </a:graphic>
          </wp:anchor>
        </w:drawing>
      </w:r>
    </w:p>
    <w:p w14:paraId="7B69F7A8" w14:textId="4E4C8EA5" w:rsidR="00B30F63" w:rsidRDefault="00B30F63" w:rsidP="00050C38"/>
    <w:p w14:paraId="0ADFF230" w14:textId="42AE07CB" w:rsidR="00B30F63" w:rsidRDefault="00B30F63" w:rsidP="00050C38"/>
    <w:p w14:paraId="296DD708" w14:textId="49B32CC3" w:rsidR="00B30F63" w:rsidRDefault="00B30F63" w:rsidP="00050C38"/>
    <w:p w14:paraId="79C91BDD" w14:textId="333EE41F" w:rsidR="00B30F63" w:rsidRDefault="00B30F63" w:rsidP="00050C38"/>
    <w:p w14:paraId="0EC25667" w14:textId="5079586D" w:rsidR="00B30F63" w:rsidRDefault="00B30F63" w:rsidP="00050C38"/>
    <w:p w14:paraId="5A42317A" w14:textId="3870F408" w:rsidR="00B30F63" w:rsidRDefault="00B30F63" w:rsidP="00050C38"/>
    <w:p w14:paraId="604EA129" w14:textId="43897BF5" w:rsidR="00B30F63" w:rsidRDefault="00B30F63" w:rsidP="00050C38"/>
    <w:p w14:paraId="0C654C96" w14:textId="2537BD28" w:rsidR="00B30F63" w:rsidRDefault="00B30F63" w:rsidP="00050C38"/>
    <w:p w14:paraId="32C95F47" w14:textId="1985C682" w:rsidR="00B30F63" w:rsidRPr="00C244C7" w:rsidRDefault="00B30F63" w:rsidP="00B30F63">
      <w:pPr>
        <w:jc w:val="center"/>
        <w:rPr>
          <w:color w:val="4472C4" w:themeColor="accent1"/>
          <w:sz w:val="72"/>
          <w:szCs w:val="72"/>
        </w:rPr>
      </w:pPr>
      <w:r>
        <w:rPr>
          <w:color w:val="4472C4" w:themeColor="accent1"/>
          <w:sz w:val="72"/>
          <w:szCs w:val="72"/>
        </w:rPr>
        <w:t>Textes de référence sur les bibliothèques</w:t>
      </w:r>
    </w:p>
    <w:p w14:paraId="666076E1" w14:textId="1DBD7D4B" w:rsidR="00B30F63" w:rsidRDefault="00B30F63" w:rsidP="00050C38"/>
    <w:p w14:paraId="097C5AC6" w14:textId="02B31E13" w:rsidR="00B30F63" w:rsidRDefault="00B30F63" w:rsidP="00050C38"/>
    <w:p w14:paraId="2C955E99" w14:textId="795AE70D" w:rsidR="00B30F63" w:rsidRDefault="00B30F63" w:rsidP="00050C38"/>
    <w:tbl>
      <w:tblPr>
        <w:tblStyle w:val="Grilledutableau"/>
        <w:tblW w:w="10206" w:type="dxa"/>
        <w:tblInd w:w="-572" w:type="dxa"/>
        <w:tblLook w:val="04A0" w:firstRow="1" w:lastRow="0" w:firstColumn="1" w:lastColumn="0" w:noHBand="0" w:noVBand="1"/>
      </w:tblPr>
      <w:tblGrid>
        <w:gridCol w:w="1276"/>
        <w:gridCol w:w="2126"/>
        <w:gridCol w:w="1985"/>
        <w:gridCol w:w="4819"/>
      </w:tblGrid>
      <w:tr w:rsidR="00B30F63" w14:paraId="22337EB4" w14:textId="77777777" w:rsidTr="00EC3B16">
        <w:trPr>
          <w:trHeight w:val="567"/>
        </w:trPr>
        <w:tc>
          <w:tcPr>
            <w:tcW w:w="1276" w:type="dxa"/>
          </w:tcPr>
          <w:p w14:paraId="6F396AD3" w14:textId="77777777" w:rsidR="00B30F63" w:rsidRPr="00C244C7" w:rsidRDefault="00B30F63" w:rsidP="00EC3B16">
            <w:pPr>
              <w:jc w:val="center"/>
              <w:rPr>
                <w:b/>
              </w:rPr>
            </w:pPr>
            <w:r w:rsidRPr="00C244C7">
              <w:rPr>
                <w:b/>
              </w:rPr>
              <w:t>Version</w:t>
            </w:r>
          </w:p>
        </w:tc>
        <w:tc>
          <w:tcPr>
            <w:tcW w:w="2126" w:type="dxa"/>
          </w:tcPr>
          <w:p w14:paraId="08C421FB" w14:textId="77777777" w:rsidR="00B30F63" w:rsidRPr="00C244C7" w:rsidRDefault="00B30F63" w:rsidP="00EC3B16">
            <w:pPr>
              <w:jc w:val="center"/>
              <w:rPr>
                <w:b/>
              </w:rPr>
            </w:pPr>
            <w:r w:rsidRPr="00C244C7">
              <w:rPr>
                <w:b/>
              </w:rPr>
              <w:t>Date</w:t>
            </w:r>
          </w:p>
        </w:tc>
        <w:tc>
          <w:tcPr>
            <w:tcW w:w="1985" w:type="dxa"/>
          </w:tcPr>
          <w:p w14:paraId="67586170" w14:textId="77777777" w:rsidR="00B30F63" w:rsidRPr="00C244C7" w:rsidRDefault="00B30F63" w:rsidP="00EC3B16">
            <w:pPr>
              <w:jc w:val="center"/>
              <w:rPr>
                <w:b/>
              </w:rPr>
            </w:pPr>
            <w:r w:rsidRPr="00C244C7">
              <w:rPr>
                <w:b/>
              </w:rPr>
              <w:t>Auteur</w:t>
            </w:r>
          </w:p>
        </w:tc>
        <w:tc>
          <w:tcPr>
            <w:tcW w:w="4819" w:type="dxa"/>
          </w:tcPr>
          <w:p w14:paraId="449EFBED" w14:textId="77777777" w:rsidR="00B30F63" w:rsidRPr="00C244C7" w:rsidRDefault="00B30F63" w:rsidP="00EC3B16">
            <w:pPr>
              <w:jc w:val="center"/>
              <w:rPr>
                <w:b/>
              </w:rPr>
            </w:pPr>
            <w:r w:rsidRPr="00C244C7">
              <w:rPr>
                <w:b/>
              </w:rPr>
              <w:t>Description</w:t>
            </w:r>
          </w:p>
        </w:tc>
      </w:tr>
      <w:tr w:rsidR="00B30F63" w14:paraId="61D006F7" w14:textId="77777777" w:rsidTr="00EC3B16">
        <w:trPr>
          <w:trHeight w:val="567"/>
        </w:trPr>
        <w:tc>
          <w:tcPr>
            <w:tcW w:w="1276" w:type="dxa"/>
          </w:tcPr>
          <w:p w14:paraId="2C907D6F" w14:textId="2B7FAE93" w:rsidR="00B30F63" w:rsidRDefault="00B30F63" w:rsidP="00EC3B16">
            <w:pPr>
              <w:jc w:val="center"/>
            </w:pPr>
            <w:r>
              <w:t>1</w:t>
            </w:r>
          </w:p>
        </w:tc>
        <w:tc>
          <w:tcPr>
            <w:tcW w:w="2126" w:type="dxa"/>
          </w:tcPr>
          <w:p w14:paraId="3E28CE16" w14:textId="46DE2DC5" w:rsidR="00B30F63" w:rsidRDefault="00B30F63" w:rsidP="00EC3B16">
            <w:pPr>
              <w:jc w:val="center"/>
            </w:pPr>
            <w:r>
              <w:t>Mai 2023</w:t>
            </w:r>
          </w:p>
        </w:tc>
        <w:tc>
          <w:tcPr>
            <w:tcW w:w="1985" w:type="dxa"/>
          </w:tcPr>
          <w:p w14:paraId="3E76F5C3" w14:textId="31B61194" w:rsidR="00B30F63" w:rsidRDefault="00B30F63" w:rsidP="00EC3B16">
            <w:pPr>
              <w:jc w:val="center"/>
            </w:pPr>
            <w:r>
              <w:t>SC</w:t>
            </w:r>
          </w:p>
        </w:tc>
        <w:tc>
          <w:tcPr>
            <w:tcW w:w="4819" w:type="dxa"/>
          </w:tcPr>
          <w:p w14:paraId="74BF1686" w14:textId="14D05392" w:rsidR="00B30F63" w:rsidRDefault="00B30F63" w:rsidP="00EC3B16">
            <w:pPr>
              <w:jc w:val="center"/>
            </w:pPr>
            <w:r>
              <w:t>Création de la fiche</w:t>
            </w:r>
          </w:p>
        </w:tc>
      </w:tr>
      <w:tr w:rsidR="00B30F63" w14:paraId="78F3DA1B" w14:textId="77777777" w:rsidTr="00EC3B16">
        <w:trPr>
          <w:trHeight w:val="567"/>
        </w:trPr>
        <w:tc>
          <w:tcPr>
            <w:tcW w:w="1276" w:type="dxa"/>
          </w:tcPr>
          <w:p w14:paraId="04A82E57" w14:textId="548EAF90" w:rsidR="00B30F63" w:rsidRDefault="00B30F63" w:rsidP="00EC3B16">
            <w:pPr>
              <w:jc w:val="center"/>
            </w:pPr>
            <w:r>
              <w:t>2</w:t>
            </w:r>
          </w:p>
        </w:tc>
        <w:tc>
          <w:tcPr>
            <w:tcW w:w="2126" w:type="dxa"/>
          </w:tcPr>
          <w:p w14:paraId="430675B4" w14:textId="5591DC0B" w:rsidR="00B30F63" w:rsidRDefault="00B30F63" w:rsidP="00EC3B16">
            <w:pPr>
              <w:jc w:val="center"/>
            </w:pPr>
            <w:r>
              <w:t>Juin 2023</w:t>
            </w:r>
          </w:p>
        </w:tc>
        <w:tc>
          <w:tcPr>
            <w:tcW w:w="1985" w:type="dxa"/>
          </w:tcPr>
          <w:p w14:paraId="69DE59C6" w14:textId="3436B9BB" w:rsidR="00B30F63" w:rsidRDefault="00B30F63" w:rsidP="00EC3B16">
            <w:pPr>
              <w:jc w:val="center"/>
            </w:pPr>
            <w:r>
              <w:t>CG / ND</w:t>
            </w:r>
          </w:p>
        </w:tc>
        <w:tc>
          <w:tcPr>
            <w:tcW w:w="4819" w:type="dxa"/>
          </w:tcPr>
          <w:p w14:paraId="1226E38A" w14:textId="4787B6D5" w:rsidR="00B30F63" w:rsidRDefault="00B30F63" w:rsidP="00EC3B16">
            <w:pPr>
              <w:jc w:val="center"/>
            </w:pPr>
            <w:r>
              <w:t>Relecture et corrections</w:t>
            </w:r>
          </w:p>
        </w:tc>
      </w:tr>
      <w:tr w:rsidR="00B30F63" w14:paraId="6ECBE7F5" w14:textId="77777777" w:rsidTr="00EC3B16">
        <w:trPr>
          <w:trHeight w:val="567"/>
        </w:trPr>
        <w:tc>
          <w:tcPr>
            <w:tcW w:w="1276" w:type="dxa"/>
          </w:tcPr>
          <w:p w14:paraId="3E0327C2" w14:textId="65FB983F" w:rsidR="00B30F63" w:rsidRDefault="00B30F63" w:rsidP="00EC3B16">
            <w:pPr>
              <w:jc w:val="center"/>
            </w:pPr>
          </w:p>
        </w:tc>
        <w:tc>
          <w:tcPr>
            <w:tcW w:w="2126" w:type="dxa"/>
          </w:tcPr>
          <w:p w14:paraId="1A191153" w14:textId="5C7A96E4" w:rsidR="00B30F63" w:rsidRDefault="00B30F63" w:rsidP="00EC3B16">
            <w:pPr>
              <w:jc w:val="center"/>
            </w:pPr>
          </w:p>
        </w:tc>
        <w:tc>
          <w:tcPr>
            <w:tcW w:w="1985" w:type="dxa"/>
          </w:tcPr>
          <w:p w14:paraId="4EBA5A71" w14:textId="7B5DE72D" w:rsidR="00B30F63" w:rsidRDefault="00B30F63" w:rsidP="00EC3B16">
            <w:pPr>
              <w:jc w:val="center"/>
            </w:pPr>
          </w:p>
        </w:tc>
        <w:tc>
          <w:tcPr>
            <w:tcW w:w="4819" w:type="dxa"/>
          </w:tcPr>
          <w:p w14:paraId="5E2C9138" w14:textId="599D1C92" w:rsidR="00B30F63" w:rsidRDefault="00B30F63" w:rsidP="00EC3B16">
            <w:pPr>
              <w:jc w:val="center"/>
            </w:pPr>
          </w:p>
        </w:tc>
      </w:tr>
      <w:tr w:rsidR="00B30F63" w14:paraId="53EC46BE" w14:textId="77777777" w:rsidTr="00EC3B16">
        <w:trPr>
          <w:trHeight w:val="567"/>
        </w:trPr>
        <w:tc>
          <w:tcPr>
            <w:tcW w:w="1276" w:type="dxa"/>
          </w:tcPr>
          <w:p w14:paraId="1F8EA14F" w14:textId="3C0F215D" w:rsidR="00B30F63" w:rsidRDefault="00B30F63" w:rsidP="00EC3B16">
            <w:pPr>
              <w:jc w:val="center"/>
            </w:pPr>
          </w:p>
        </w:tc>
        <w:tc>
          <w:tcPr>
            <w:tcW w:w="2126" w:type="dxa"/>
          </w:tcPr>
          <w:p w14:paraId="3DCF1E8E" w14:textId="3EF79B57" w:rsidR="00B30F63" w:rsidRDefault="00B30F63" w:rsidP="00EC3B16">
            <w:pPr>
              <w:jc w:val="center"/>
            </w:pPr>
          </w:p>
        </w:tc>
        <w:tc>
          <w:tcPr>
            <w:tcW w:w="1985" w:type="dxa"/>
          </w:tcPr>
          <w:p w14:paraId="4DD3F2AB" w14:textId="7B9284A5" w:rsidR="00B30F63" w:rsidRDefault="00B30F63" w:rsidP="00EC3B16">
            <w:pPr>
              <w:jc w:val="center"/>
            </w:pPr>
          </w:p>
        </w:tc>
        <w:tc>
          <w:tcPr>
            <w:tcW w:w="4819" w:type="dxa"/>
          </w:tcPr>
          <w:p w14:paraId="57117617" w14:textId="000C868D" w:rsidR="00B30F63" w:rsidRDefault="00B30F63" w:rsidP="00EC3B16">
            <w:pPr>
              <w:jc w:val="center"/>
            </w:pPr>
          </w:p>
        </w:tc>
      </w:tr>
      <w:tr w:rsidR="00B30F63" w14:paraId="1E2950A7" w14:textId="77777777" w:rsidTr="00EC3B16">
        <w:trPr>
          <w:trHeight w:val="567"/>
        </w:trPr>
        <w:tc>
          <w:tcPr>
            <w:tcW w:w="1276" w:type="dxa"/>
          </w:tcPr>
          <w:p w14:paraId="2A62C090" w14:textId="77777777" w:rsidR="00B30F63" w:rsidRDefault="00B30F63" w:rsidP="00EC3B16">
            <w:pPr>
              <w:jc w:val="center"/>
            </w:pPr>
          </w:p>
        </w:tc>
        <w:tc>
          <w:tcPr>
            <w:tcW w:w="2126" w:type="dxa"/>
          </w:tcPr>
          <w:p w14:paraId="2982307A" w14:textId="77777777" w:rsidR="00B30F63" w:rsidRDefault="00B30F63" w:rsidP="00EC3B16">
            <w:pPr>
              <w:jc w:val="center"/>
            </w:pPr>
          </w:p>
        </w:tc>
        <w:tc>
          <w:tcPr>
            <w:tcW w:w="1985" w:type="dxa"/>
          </w:tcPr>
          <w:p w14:paraId="028A7BD6" w14:textId="77777777" w:rsidR="00B30F63" w:rsidRDefault="00B30F63" w:rsidP="00EC3B16">
            <w:pPr>
              <w:jc w:val="center"/>
            </w:pPr>
          </w:p>
        </w:tc>
        <w:tc>
          <w:tcPr>
            <w:tcW w:w="4819" w:type="dxa"/>
          </w:tcPr>
          <w:p w14:paraId="15BD671C" w14:textId="77777777" w:rsidR="00B30F63" w:rsidRDefault="00B30F63" w:rsidP="00EC3B16">
            <w:pPr>
              <w:jc w:val="center"/>
            </w:pPr>
          </w:p>
        </w:tc>
      </w:tr>
    </w:tbl>
    <w:p w14:paraId="2F5EDBE7" w14:textId="65270242" w:rsidR="00B30F63" w:rsidRDefault="00B30F63" w:rsidP="00050C38"/>
    <w:p w14:paraId="248E99E9" w14:textId="0DB343C2" w:rsidR="00B30F63" w:rsidRDefault="00B30F63" w:rsidP="00050C38"/>
    <w:p w14:paraId="313B2139" w14:textId="447666F1" w:rsidR="00B30F63" w:rsidRDefault="00B30F63" w:rsidP="00050C38"/>
    <w:p w14:paraId="0D580039" w14:textId="040D47ED" w:rsidR="00B30F63" w:rsidRDefault="00B30F63" w:rsidP="00050C38"/>
    <w:p w14:paraId="0C8D11F0" w14:textId="1AF5D891" w:rsidR="00B30F63" w:rsidRDefault="00B30F63" w:rsidP="00050C38"/>
    <w:p w14:paraId="6481E4E0" w14:textId="66365A09" w:rsidR="00B30F63" w:rsidRDefault="00B30F63" w:rsidP="00050C38"/>
    <w:p w14:paraId="4E29045A" w14:textId="1698DEEB" w:rsidR="00B30F63" w:rsidRDefault="00B30F63" w:rsidP="00050C38"/>
    <w:p w14:paraId="01AC9845" w14:textId="555A39B3" w:rsidR="00B30F63" w:rsidRDefault="00B30F63" w:rsidP="00050C38"/>
    <w:p w14:paraId="01646F6F" w14:textId="0513B2EB" w:rsidR="00B30F63" w:rsidRDefault="00B30F63" w:rsidP="00050C38"/>
    <w:p w14:paraId="5FC3A0AF" w14:textId="6EF85191" w:rsidR="00B30F63" w:rsidRDefault="00B30F63" w:rsidP="00050C38"/>
    <w:p w14:paraId="475E0928" w14:textId="7D922981" w:rsidR="00B30F63" w:rsidRDefault="00B30F63" w:rsidP="00050C38"/>
    <w:p w14:paraId="6B4F423B" w14:textId="5AACC1C0" w:rsidR="00B30F63" w:rsidRDefault="00B30F63" w:rsidP="00050C38"/>
    <w:p w14:paraId="3091C761" w14:textId="639AABE7" w:rsidR="00B30F63" w:rsidRDefault="00B30F63" w:rsidP="00050C38"/>
    <w:p w14:paraId="3FC1AAB0" w14:textId="03BDFFC0" w:rsidR="00B30F63" w:rsidRDefault="00B30F63" w:rsidP="00050C38"/>
    <w:p w14:paraId="2B092C1D" w14:textId="19EE1354" w:rsidR="00B30F63" w:rsidRDefault="00B30F63" w:rsidP="00050C38"/>
    <w:p w14:paraId="5D68393B" w14:textId="026883B9" w:rsidR="00B30F63" w:rsidRDefault="00B30F63" w:rsidP="00050C38"/>
    <w:p w14:paraId="64293B5B" w14:textId="61CFF49E" w:rsidR="004D4E43" w:rsidRDefault="00095164" w:rsidP="00050C38">
      <w:pPr>
        <w:pStyle w:val="Titre3"/>
      </w:pPr>
      <w:r>
        <w:rPr>
          <w:noProof/>
        </w:rPr>
        <w:lastRenderedPageBreak/>
        <w:drawing>
          <wp:anchor distT="0" distB="0" distL="114300" distR="114300" simplePos="0" relativeHeight="251659264" behindDoc="0" locked="0" layoutInCell="1" allowOverlap="1" wp14:anchorId="13D413F0" wp14:editId="105A4C98">
            <wp:simplePos x="0" y="0"/>
            <wp:positionH relativeFrom="margin">
              <wp:align>left</wp:align>
            </wp:positionH>
            <wp:positionV relativeFrom="paragraph">
              <wp:posOffset>384810</wp:posOffset>
            </wp:positionV>
            <wp:extent cx="1914525" cy="664845"/>
            <wp:effectExtent l="0" t="0" r="9525" b="1905"/>
            <wp:wrapSquare wrapText="bothSides"/>
            <wp:docPr id="5" name="Image 5" descr="Logos Ifla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Ifla Unes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66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E43">
        <w:t xml:space="preserve">Manifeste IFLA-UNESCO sur les bibliothèques publiques </w:t>
      </w:r>
      <w:r w:rsidR="00745B5E">
        <w:t>(2022)</w:t>
      </w:r>
    </w:p>
    <w:p w14:paraId="1CD6F14C" w14:textId="4329D33E" w:rsidR="004D4E43" w:rsidRDefault="00F54C7C" w:rsidP="00364DD5">
      <w:pPr>
        <w:jc w:val="both"/>
      </w:pPr>
      <w:r>
        <w:t>M</w:t>
      </w:r>
      <w:r w:rsidR="004D4E43">
        <w:t>ise à jour du manifeste de 1994 pour prendre en compte l’évolution de l’environnement informationnel et des usages afin de maintenir son efficacité pour défendre et promouvoir les bibliothèques</w:t>
      </w:r>
    </w:p>
    <w:p w14:paraId="7CF39EE9" w14:textId="77777777" w:rsidR="004D4E43" w:rsidRDefault="004D4E43" w:rsidP="00364DD5">
      <w:pPr>
        <w:jc w:val="both"/>
        <w:rPr>
          <w:rFonts w:ascii="Times New Roman" w:hAnsi="Times New Roman"/>
        </w:rPr>
      </w:pPr>
      <w:r>
        <w:t>Il sera complété par des conseils de mise en œuvre et des outils de plaidoyer.</w:t>
      </w:r>
    </w:p>
    <w:p w14:paraId="72B415C3" w14:textId="23AE60F3" w:rsidR="004D4E43" w:rsidRPr="00BC5708" w:rsidRDefault="00DF7D14" w:rsidP="00364DD5">
      <w:pPr>
        <w:jc w:val="both"/>
      </w:pPr>
      <w:hyperlink r:id="rId9" w:history="1">
        <w:r w:rsidR="00564FCC">
          <w:rPr>
            <w:rStyle w:val="Lienhypertexte"/>
          </w:rPr>
          <w:t>ifla.org : Manifeste IFLA-UNESCO sur les bibliothèques publiques.v2.pdf</w:t>
        </w:r>
      </w:hyperlink>
    </w:p>
    <w:p w14:paraId="3E725EDA" w14:textId="77777777" w:rsidR="00BC5708" w:rsidRDefault="00BC5708" w:rsidP="00050C38">
      <w:pPr>
        <w:pStyle w:val="Titre3"/>
        <w:rPr>
          <w:rFonts w:ascii="Times New Roman" w:hAnsi="Times New Roman"/>
        </w:rPr>
      </w:pPr>
      <w:r>
        <w:t>Les 10 atouts politiques des bibliothèques (2022)</w:t>
      </w:r>
    </w:p>
    <w:p w14:paraId="44ADB2D4" w14:textId="1F87CA1E" w:rsidR="00BC5708" w:rsidRDefault="00BC5708" w:rsidP="00BC5708">
      <w:pPr>
        <w:jc w:val="both"/>
        <w:rPr>
          <w:rStyle w:val="lev"/>
          <w:b w:val="0"/>
          <w:bCs w:val="0"/>
        </w:rPr>
      </w:pPr>
      <w:r w:rsidRPr="00E55C63">
        <w:rPr>
          <w:noProof/>
        </w:rPr>
        <w:drawing>
          <wp:anchor distT="0" distB="0" distL="114300" distR="114300" simplePos="0" relativeHeight="251667456" behindDoc="0" locked="0" layoutInCell="1" allowOverlap="1" wp14:anchorId="169C2FDE" wp14:editId="00E50E6D">
            <wp:simplePos x="0" y="0"/>
            <wp:positionH relativeFrom="column">
              <wp:posOffset>20955</wp:posOffset>
            </wp:positionH>
            <wp:positionV relativeFrom="paragraph">
              <wp:posOffset>17145</wp:posOffset>
            </wp:positionV>
            <wp:extent cx="1190625" cy="1190625"/>
            <wp:effectExtent l="19050" t="19050" r="28575" b="2857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90625" cy="1190625"/>
                    </a:xfrm>
                    <a:prstGeom prst="rect">
                      <a:avLst/>
                    </a:prstGeom>
                    <a:ln>
                      <a:solidFill>
                        <a:srgbClr val="4472C4"/>
                      </a:solidFill>
                    </a:ln>
                  </pic:spPr>
                </pic:pic>
              </a:graphicData>
            </a:graphic>
          </wp:anchor>
        </w:drawing>
      </w:r>
      <w:r w:rsidRPr="00DF3878">
        <w:rPr>
          <w:rStyle w:val="lev"/>
          <w:b w:val="0"/>
          <w:bCs w:val="0"/>
        </w:rPr>
        <w:t xml:space="preserve">La FNCC </w:t>
      </w:r>
      <w:r>
        <w:rPr>
          <w:rStyle w:val="lev"/>
          <w:b w:val="0"/>
          <w:bCs w:val="0"/>
        </w:rPr>
        <w:t>(</w:t>
      </w:r>
      <w:r w:rsidRPr="00DF3878">
        <w:rPr>
          <w:lang w:eastAsia="fr-FR"/>
        </w:rPr>
        <w:t>Fédération nationale des collectivités territoriales pour la culture</w:t>
      </w:r>
      <w:r>
        <w:rPr>
          <w:lang w:eastAsia="fr-FR"/>
        </w:rPr>
        <w:t xml:space="preserve">) </w:t>
      </w:r>
      <w:r w:rsidRPr="00DF3878">
        <w:rPr>
          <w:rStyle w:val="lev"/>
          <w:b w:val="0"/>
          <w:bCs w:val="0"/>
        </w:rPr>
        <w:t xml:space="preserve">a identifié, sous forme de charte, les dix missions indispensables pour la vie démocratique et pour l’émancipation de chacune et de chacun que peuvent remplir les bibliothèques et médiathèques territoriales. Un texte, présenté en préambule politique du guide </w:t>
      </w:r>
      <w:r w:rsidRPr="00DF3878">
        <w:rPr>
          <w:rStyle w:val="lev"/>
          <w:b w:val="0"/>
          <w:bCs w:val="0"/>
          <w:i/>
          <w:iCs/>
        </w:rPr>
        <w:t>Bibliothèques territoriales, dispositifs d’accompagnement de l’</w:t>
      </w:r>
      <w:r w:rsidR="00FE136A" w:rsidRPr="00DF3878">
        <w:rPr>
          <w:rStyle w:val="lev"/>
          <w:b w:val="0"/>
          <w:bCs w:val="0"/>
          <w:i/>
          <w:iCs/>
        </w:rPr>
        <w:t>État</w:t>
      </w:r>
      <w:r w:rsidRPr="00DF3878">
        <w:rPr>
          <w:rStyle w:val="lev"/>
          <w:b w:val="0"/>
          <w:bCs w:val="0"/>
          <w:i/>
          <w:iCs/>
        </w:rPr>
        <w:t xml:space="preserve"> et témoignages d’élus</w:t>
      </w:r>
      <w:r w:rsidRPr="00DF3878">
        <w:rPr>
          <w:rStyle w:val="lev"/>
          <w:b w:val="0"/>
          <w:bCs w:val="0"/>
        </w:rPr>
        <w:t>.</w:t>
      </w:r>
    </w:p>
    <w:p w14:paraId="56B23C7E" w14:textId="77777777" w:rsidR="00BC5708" w:rsidRDefault="00BC5708" w:rsidP="00BC5708"/>
    <w:p w14:paraId="0EC78093" w14:textId="6741BD2E" w:rsidR="00BC5708" w:rsidRPr="00DF3878" w:rsidRDefault="00DF7D14" w:rsidP="00BC5708">
      <w:hyperlink r:id="rId11" w:history="1">
        <w:r w:rsidR="00564FCC">
          <w:rPr>
            <w:rStyle w:val="Lienhypertexte"/>
          </w:rPr>
          <w:t>fncc.fr : les_10_atouts_politiques_des_bibliotheques.pdf</w:t>
        </w:r>
      </w:hyperlink>
      <w:r w:rsidR="00BC5708" w:rsidRPr="00DF3878">
        <w:t xml:space="preserve"> </w:t>
      </w:r>
    </w:p>
    <w:p w14:paraId="59634802" w14:textId="2811CB34" w:rsidR="004D4E43" w:rsidRDefault="004D4E43" w:rsidP="00050C38">
      <w:pPr>
        <w:pStyle w:val="Titre3"/>
      </w:pPr>
      <w:r>
        <w:t>Code de déontologie des bibliothécaires</w:t>
      </w:r>
      <w:r w:rsidR="00745B5E">
        <w:t xml:space="preserve"> (2020)</w:t>
      </w:r>
    </w:p>
    <w:p w14:paraId="4AB4FAFA" w14:textId="4709EA36" w:rsidR="001124D7" w:rsidRDefault="00364DD5" w:rsidP="00364DD5">
      <w:pPr>
        <w:jc w:val="both"/>
      </w:pPr>
      <w:r w:rsidRPr="00364DD5">
        <w:rPr>
          <w:noProof/>
        </w:rPr>
        <w:drawing>
          <wp:anchor distT="0" distB="0" distL="114300" distR="114300" simplePos="0" relativeHeight="251660288" behindDoc="0" locked="0" layoutInCell="1" allowOverlap="1" wp14:anchorId="6B659EBA" wp14:editId="6E82A349">
            <wp:simplePos x="0" y="0"/>
            <wp:positionH relativeFrom="column">
              <wp:posOffset>1905</wp:posOffset>
            </wp:positionH>
            <wp:positionV relativeFrom="paragraph">
              <wp:posOffset>2540</wp:posOffset>
            </wp:positionV>
            <wp:extent cx="2002094" cy="342900"/>
            <wp:effectExtent l="0" t="0" r="0" b="0"/>
            <wp:wrapSquare wrapText="bothSides"/>
            <wp:docPr id="7" name="Image 7"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graphiqu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2094" cy="342900"/>
                    </a:xfrm>
                    <a:prstGeom prst="rect">
                      <a:avLst/>
                    </a:prstGeom>
                  </pic:spPr>
                </pic:pic>
              </a:graphicData>
            </a:graphic>
          </wp:anchor>
        </w:drawing>
      </w:r>
      <w:r w:rsidR="00F54C7C">
        <w:t>A</w:t>
      </w:r>
      <w:r w:rsidR="004D4E43">
        <w:t>dopté par l’Assemblée générale de l’ABF</w:t>
      </w:r>
      <w:r>
        <w:t>, version actualisée, 17 ans après la 1</w:t>
      </w:r>
      <w:r w:rsidRPr="00364DD5">
        <w:rPr>
          <w:vertAlign w:val="superscript"/>
        </w:rPr>
        <w:t>ère</w:t>
      </w:r>
      <w:r>
        <w:t xml:space="preserve"> version</w:t>
      </w:r>
    </w:p>
    <w:p w14:paraId="19045BAF" w14:textId="3D531ABB" w:rsidR="004D4E43" w:rsidRDefault="00F54C7C" w:rsidP="00364DD5">
      <w:pPr>
        <w:jc w:val="both"/>
      </w:pPr>
      <w:r>
        <w:t>"</w:t>
      </w:r>
      <w:r w:rsidR="001124D7">
        <w:t> Il se distingue des chartes propres à chaque collectivité ou établissement. Son objectif est d’être un guide que la profession se donne publiquement à elle-même.</w:t>
      </w:r>
      <w:r w:rsidR="00095164">
        <w:t xml:space="preserve"> </w:t>
      </w:r>
      <w:r w:rsidR="001124D7">
        <w:t>Ce texte est destiné aux personnels des bibliothèques relevant d’un service public, quelle que soit leur nature juridique, et peut servir d’inspiration pour les autres. </w:t>
      </w:r>
      <w:r w:rsidR="00BC5708">
        <w:t>"</w:t>
      </w:r>
    </w:p>
    <w:p w14:paraId="573DF707" w14:textId="68026901" w:rsidR="004D4E43" w:rsidRDefault="00DF7D14" w:rsidP="00364DD5">
      <w:pPr>
        <w:jc w:val="both"/>
      </w:pPr>
      <w:hyperlink r:id="rId13" w:history="1">
        <w:r w:rsidR="00564FCC">
          <w:rPr>
            <w:rStyle w:val="Lienhypertexte"/>
          </w:rPr>
          <w:t>abf.asso.fr : code-de-</w:t>
        </w:r>
        <w:proofErr w:type="spellStart"/>
        <w:r w:rsidR="00564FCC">
          <w:rPr>
            <w:rStyle w:val="Lienhypertexte"/>
          </w:rPr>
          <w:t>deontologie</w:t>
        </w:r>
        <w:proofErr w:type="spellEnd"/>
        <w:r w:rsidR="00564FCC">
          <w:rPr>
            <w:rStyle w:val="Lienhypertexte"/>
          </w:rPr>
          <w:t>-des-</w:t>
        </w:r>
        <w:proofErr w:type="spellStart"/>
        <w:r w:rsidR="00564FCC">
          <w:rPr>
            <w:rStyle w:val="Lienhypertexte"/>
          </w:rPr>
          <w:t>bibliothecaires</w:t>
        </w:r>
        <w:proofErr w:type="spellEnd"/>
      </w:hyperlink>
      <w:r w:rsidR="004D4E43">
        <w:t xml:space="preserve"> </w:t>
      </w:r>
    </w:p>
    <w:p w14:paraId="037BC528" w14:textId="77777777" w:rsidR="00BC5708" w:rsidRDefault="00BC5708" w:rsidP="00050C38">
      <w:pPr>
        <w:pStyle w:val="Titre3"/>
      </w:pPr>
      <w:r>
        <w:t>Manifeste La bibliothèque est une affaire publique (2016)</w:t>
      </w:r>
    </w:p>
    <w:p w14:paraId="3E474029" w14:textId="77777777" w:rsidR="00BC5708" w:rsidRDefault="00BC5708" w:rsidP="00BC5708">
      <w:pPr>
        <w:jc w:val="both"/>
      </w:pPr>
      <w:r>
        <w:rPr>
          <w:noProof/>
        </w:rPr>
        <w:drawing>
          <wp:anchor distT="0" distB="0" distL="114300" distR="114300" simplePos="0" relativeHeight="251669504" behindDoc="0" locked="0" layoutInCell="1" allowOverlap="1" wp14:anchorId="024AEB9A" wp14:editId="0F3D32F0">
            <wp:simplePos x="0" y="0"/>
            <wp:positionH relativeFrom="margin">
              <wp:align>left</wp:align>
            </wp:positionH>
            <wp:positionV relativeFrom="paragraph">
              <wp:posOffset>18415</wp:posOffset>
            </wp:positionV>
            <wp:extent cx="1009650" cy="1426845"/>
            <wp:effectExtent l="19050" t="19050" r="19050" b="20955"/>
            <wp:wrapSquare wrapText="bothSides"/>
            <wp:docPr id="4" name="Image 4" descr="Textes de référence - A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Textes de référence - AR2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1426845"/>
                    </a:xfrm>
                    <a:prstGeom prst="rect">
                      <a:avLst/>
                    </a:prstGeom>
                    <a:noFill/>
                    <a:ln>
                      <a:solidFill>
                        <a:srgbClr val="4472C4"/>
                      </a:solidFill>
                    </a:ln>
                  </pic:spPr>
                </pic:pic>
              </a:graphicData>
            </a:graphic>
            <wp14:sizeRelH relativeFrom="page">
              <wp14:pctWidth>0</wp14:pctWidth>
            </wp14:sizeRelH>
            <wp14:sizeRelV relativeFrom="page">
              <wp14:pctHeight>0</wp14:pctHeight>
            </wp14:sizeRelV>
          </wp:anchor>
        </w:drawing>
      </w:r>
      <w:r>
        <w:t>Publié dans le cadre des élections présidentielles et législatives de 2017 afin d’affirmer la place des bibliothèques et médiathèques dans les politiques publiques.</w:t>
      </w:r>
    </w:p>
    <w:p w14:paraId="4E753A50" w14:textId="78FEC8A8" w:rsidR="00BC5708" w:rsidRPr="00364DD5" w:rsidRDefault="00DF7D14" w:rsidP="00BC5708">
      <w:pPr>
        <w:rPr>
          <w:rStyle w:val="Lienhypertexte"/>
          <w:color w:val="auto"/>
          <w:u w:val="none"/>
        </w:rPr>
      </w:pPr>
      <w:hyperlink r:id="rId15" w:history="1">
        <w:r w:rsidR="00564FCC">
          <w:rPr>
            <w:rStyle w:val="Lienhypertexte"/>
            <w:rFonts w:ascii="Akkurat-Light" w:hAnsi="Akkurat-Light" w:cs="Akkurat-Light"/>
            <w:sz w:val="26"/>
            <w:szCs w:val="26"/>
          </w:rPr>
          <w:t>abf.asso.fr : manifeste-la-bibliotheque-est-une-affaire-publique</w:t>
        </w:r>
      </w:hyperlink>
      <w:r w:rsidR="00BC5708" w:rsidRPr="005D3B1B">
        <w:rPr>
          <w:rStyle w:val="Lienhypertexte"/>
          <w:rFonts w:ascii="Akkurat-Light" w:hAnsi="Akkurat-Light" w:cs="Akkurat-Light"/>
          <w:sz w:val="26"/>
          <w:szCs w:val="26"/>
        </w:rPr>
        <w:t xml:space="preserve"> </w:t>
      </w:r>
    </w:p>
    <w:p w14:paraId="353D15D8" w14:textId="77777777" w:rsidR="00BC5708" w:rsidRDefault="00BC5708" w:rsidP="00364DD5">
      <w:pPr>
        <w:jc w:val="both"/>
      </w:pPr>
    </w:p>
    <w:p w14:paraId="28B89E6B" w14:textId="77777777" w:rsidR="00BC5708" w:rsidRDefault="00BC5708" w:rsidP="00050C38">
      <w:pPr>
        <w:pStyle w:val="Titre2"/>
      </w:pPr>
    </w:p>
    <w:p w14:paraId="3ED220BF" w14:textId="39A98BB9" w:rsidR="001124D7" w:rsidRPr="00050C38" w:rsidRDefault="001124D7" w:rsidP="00050C38">
      <w:pPr>
        <w:pStyle w:val="Titre3"/>
      </w:pPr>
      <w:r w:rsidRPr="00050C38">
        <w:rPr>
          <w:rStyle w:val="Titre3Car"/>
          <w:b/>
        </w:rPr>
        <w:t>Code d’éthique de l’IFLA pour les bibliothécaires et les autres professionnel(le)s de</w:t>
      </w:r>
      <w:r w:rsidRPr="00050C38">
        <w:t xml:space="preserve"> l'information</w:t>
      </w:r>
      <w:r w:rsidR="00745B5E" w:rsidRPr="00050C38">
        <w:t xml:space="preserve"> (2012)</w:t>
      </w:r>
    </w:p>
    <w:p w14:paraId="4F468C47" w14:textId="69E71B62" w:rsidR="001124D7" w:rsidRPr="001124D7" w:rsidRDefault="00F54C7C" w:rsidP="00364DD5">
      <w:pPr>
        <w:jc w:val="both"/>
      </w:pPr>
      <w:r>
        <w:t>"</w:t>
      </w:r>
      <w:r w:rsidR="001124D7">
        <w:t>Le présent code d’éthique et de conduite professionnelle présente une série de propositions. Elles servent à la fois d’outil d’orientation pour les bibliothécaires et les autres professionnel(le)s de l'information dans leur pratique quotidienne et de matériel de référence pour les associations de bibliothécaires et autres professionnel(le)s de l'information lorsqu’elles rédigent ou révisent leur propre code.</w:t>
      </w:r>
      <w:r w:rsidR="00DF3878">
        <w:t> </w:t>
      </w:r>
      <w:r>
        <w:t>"</w:t>
      </w:r>
    </w:p>
    <w:p w14:paraId="35C19B6E" w14:textId="7A06846D" w:rsidR="001124D7" w:rsidRDefault="00DF7D14" w:rsidP="00364DD5">
      <w:pPr>
        <w:jc w:val="both"/>
      </w:pPr>
      <w:hyperlink r:id="rId16" w:history="1">
        <w:r w:rsidR="00564FCC">
          <w:rPr>
            <w:rStyle w:val="Lienhypertexte"/>
          </w:rPr>
          <w:t>ifla.org : frenchcodeofethicsfull.pdf</w:t>
        </w:r>
      </w:hyperlink>
      <w:r w:rsidR="001124D7">
        <w:t xml:space="preserve"> </w:t>
      </w:r>
    </w:p>
    <w:p w14:paraId="508B0656" w14:textId="1010F2FA" w:rsidR="00483D60" w:rsidRDefault="00483D60" w:rsidP="00050C38">
      <w:pPr>
        <w:pStyle w:val="Titre3"/>
      </w:pPr>
      <w:r>
        <w:lastRenderedPageBreak/>
        <w:t xml:space="preserve">Déclaration de Glasgow sur les bibliothèques, les services d’information et la liberté intellectuelle </w:t>
      </w:r>
      <w:r w:rsidR="00745B5E">
        <w:t>(2002)</w:t>
      </w:r>
    </w:p>
    <w:p w14:paraId="27F7F7FF" w14:textId="2E9EA98E" w:rsidR="00745B5E" w:rsidRPr="00745B5E" w:rsidRDefault="00745B5E" w:rsidP="00364DD5">
      <w:pPr>
        <w:jc w:val="both"/>
      </w:pPr>
      <w:r>
        <w:t>Réaffirme l’importance des bibliothèques pour la préservation de la liberté intellectuelle, alliée indispensable à la démocratie et la protection des droits humains</w:t>
      </w:r>
    </w:p>
    <w:p w14:paraId="7944BAE7" w14:textId="3723FD9C" w:rsidR="00483D60" w:rsidRDefault="00DF7D14" w:rsidP="00364DD5">
      <w:pPr>
        <w:jc w:val="both"/>
        <w:rPr>
          <w:rStyle w:val="Lienhypertexte"/>
        </w:rPr>
      </w:pPr>
      <w:hyperlink r:id="rId17" w:history="1">
        <w:r w:rsidR="00564FCC">
          <w:rPr>
            <w:rStyle w:val="Lienhypertexte"/>
          </w:rPr>
          <w:t>ifla.org : ifla-statement-sustainable-development-fr.pdf</w:t>
        </w:r>
      </w:hyperlink>
    </w:p>
    <w:p w14:paraId="67701D5D" w14:textId="77777777" w:rsidR="00BC5708" w:rsidRDefault="00BC5708" w:rsidP="00050C38">
      <w:pPr>
        <w:pStyle w:val="Titre3"/>
      </w:pPr>
      <w:r>
        <w:t>Charte du bibliothécaire volontaire (1992)</w:t>
      </w:r>
    </w:p>
    <w:p w14:paraId="5323625C" w14:textId="24270118" w:rsidR="00BC5708" w:rsidRPr="001124D7" w:rsidRDefault="0050297E" w:rsidP="00BC5708">
      <w:pPr>
        <w:jc w:val="both"/>
      </w:pPr>
      <w:r>
        <w:rPr>
          <w:noProof/>
        </w:rPr>
        <w:drawing>
          <wp:anchor distT="0" distB="0" distL="114300" distR="114300" simplePos="0" relativeHeight="251679744" behindDoc="0" locked="0" layoutInCell="1" allowOverlap="1" wp14:anchorId="66A24E16" wp14:editId="253608C5">
            <wp:simplePos x="0" y="0"/>
            <wp:positionH relativeFrom="column">
              <wp:posOffset>3810</wp:posOffset>
            </wp:positionH>
            <wp:positionV relativeFrom="paragraph">
              <wp:posOffset>4445</wp:posOffset>
            </wp:positionV>
            <wp:extent cx="1133475" cy="1619464"/>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3475" cy="1619464"/>
                    </a:xfrm>
                    <a:prstGeom prst="rect">
                      <a:avLst/>
                    </a:prstGeom>
                    <a:noFill/>
                  </pic:spPr>
                </pic:pic>
              </a:graphicData>
            </a:graphic>
          </wp:anchor>
        </w:drawing>
      </w:r>
      <w:r w:rsidR="00BC5708">
        <w:t xml:space="preserve">Charte précisant les droits et devoirs des bénévoles rédigée par le Conseil Supérieur des Bibliothèques </w:t>
      </w:r>
    </w:p>
    <w:p w14:paraId="0F813AA4" w14:textId="1E444A06" w:rsidR="00BC5708" w:rsidRDefault="00DF7D14" w:rsidP="00BC5708">
      <w:pPr>
        <w:jc w:val="both"/>
      </w:pPr>
      <w:hyperlink r:id="rId19" w:history="1">
        <w:r w:rsidR="00564FCC">
          <w:rPr>
            <w:rStyle w:val="Lienhypertexte"/>
          </w:rPr>
          <w:t>enssib.fr : charte-du-bibliothecaire-volontaire.pdf</w:t>
        </w:r>
      </w:hyperlink>
      <w:r w:rsidR="00BC5708">
        <w:t xml:space="preserve"> </w:t>
      </w:r>
    </w:p>
    <w:p w14:paraId="60DBC2E0" w14:textId="77777777" w:rsidR="00D40B8E" w:rsidRDefault="00D40B8E">
      <w:pPr>
        <w:spacing w:after="160"/>
        <w:rPr>
          <w:rStyle w:val="Lienhypertexte"/>
          <w:highlight w:val="yellow"/>
        </w:rPr>
      </w:pPr>
      <w:r>
        <w:rPr>
          <w:rStyle w:val="Lienhypertexte"/>
          <w:highlight w:val="yellow"/>
        </w:rPr>
        <w:br w:type="page"/>
      </w:r>
    </w:p>
    <w:p w14:paraId="7546A997" w14:textId="7F57A82D" w:rsidR="00AD71B0" w:rsidRPr="00050C38" w:rsidRDefault="00AD71B0" w:rsidP="00050C38">
      <w:pPr>
        <w:pStyle w:val="Titre1"/>
        <w:rPr>
          <w:rStyle w:val="Lienhypertexte"/>
          <w:color w:val="2F5496" w:themeColor="accent1" w:themeShade="BF"/>
          <w:u w:val="none"/>
        </w:rPr>
      </w:pPr>
      <w:r w:rsidRPr="00050C38">
        <w:rPr>
          <w:rStyle w:val="Lienhypertexte"/>
          <w:color w:val="2F5496" w:themeColor="accent1" w:themeShade="BF"/>
          <w:u w:val="none"/>
        </w:rPr>
        <w:lastRenderedPageBreak/>
        <w:t>Droits culturels</w:t>
      </w:r>
    </w:p>
    <w:p w14:paraId="54C6D039" w14:textId="6D551E0F" w:rsidR="00D40B8E" w:rsidRDefault="00D40B8E" w:rsidP="00050C38">
      <w:pPr>
        <w:pStyle w:val="Titre3"/>
      </w:pPr>
      <w:r>
        <w:t>Déclaration de Fribourg sur les droits culturels</w:t>
      </w:r>
      <w:r w:rsidR="00F54C7C">
        <w:t xml:space="preserve"> (2007)</w:t>
      </w:r>
    </w:p>
    <w:p w14:paraId="24EFE17A" w14:textId="6F68B3E9" w:rsidR="00D40B8E" w:rsidRDefault="00F54C7C" w:rsidP="00D40B8E">
      <w:pPr>
        <w:jc w:val="both"/>
      </w:pPr>
      <w:r>
        <w:rPr>
          <w:noProof/>
        </w:rPr>
        <w:drawing>
          <wp:anchor distT="0" distB="0" distL="114300" distR="114300" simplePos="0" relativeHeight="251672576" behindDoc="0" locked="0" layoutInCell="1" allowOverlap="1" wp14:anchorId="1ECAF572" wp14:editId="362B7B23">
            <wp:simplePos x="0" y="0"/>
            <wp:positionH relativeFrom="column">
              <wp:posOffset>0</wp:posOffset>
            </wp:positionH>
            <wp:positionV relativeFrom="paragraph">
              <wp:posOffset>-635</wp:posOffset>
            </wp:positionV>
            <wp:extent cx="2028825" cy="1139424"/>
            <wp:effectExtent l="0" t="0" r="0" b="3810"/>
            <wp:wrapSquare wrapText="bothSides"/>
            <wp:docPr id="12" name="Image 12" descr="Une image contenant calend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lendrier&#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8825" cy="1139424"/>
                    </a:xfrm>
                    <a:prstGeom prst="rect">
                      <a:avLst/>
                    </a:prstGeom>
                    <a:noFill/>
                    <a:ln>
                      <a:noFill/>
                    </a:ln>
                  </pic:spPr>
                </pic:pic>
              </a:graphicData>
            </a:graphic>
          </wp:anchor>
        </w:drawing>
      </w:r>
    </w:p>
    <w:p w14:paraId="21A9BB1F" w14:textId="482F7D88" w:rsidR="00D40B8E" w:rsidRDefault="00D40B8E" w:rsidP="00050C38">
      <w:r>
        <w:t xml:space="preserve">© Culturables.fr </w:t>
      </w:r>
      <w:hyperlink r:id="rId21" w:history="1">
        <w:r w:rsidR="00564FCC">
          <w:rPr>
            <w:rStyle w:val="Lienhypertexte"/>
          </w:rPr>
          <w:t>youtube.com : Les droits culturels, qu'est-ce que c'est?</w:t>
        </w:r>
      </w:hyperlink>
      <w:r w:rsidR="00564FCC">
        <w:t xml:space="preserve"> </w:t>
      </w:r>
    </w:p>
    <w:p w14:paraId="077C57C7" w14:textId="77777777" w:rsidR="00D40B8E" w:rsidRDefault="00D40B8E" w:rsidP="00D40B8E">
      <w:pPr>
        <w:jc w:val="both"/>
      </w:pPr>
    </w:p>
    <w:p w14:paraId="03C20C18" w14:textId="77777777" w:rsidR="00050C38" w:rsidRDefault="00050C38" w:rsidP="00D40B8E">
      <w:pPr>
        <w:jc w:val="both"/>
      </w:pPr>
    </w:p>
    <w:p w14:paraId="05EC92ED" w14:textId="77777777" w:rsidR="00050C38" w:rsidRDefault="00050C38" w:rsidP="00D40B8E">
      <w:pPr>
        <w:jc w:val="both"/>
      </w:pPr>
    </w:p>
    <w:p w14:paraId="484013A8" w14:textId="4656AB0B" w:rsidR="00D40B8E" w:rsidRDefault="00BC5708" w:rsidP="00D40B8E">
      <w:pPr>
        <w:jc w:val="both"/>
      </w:pPr>
      <w:r>
        <w:t>"</w:t>
      </w:r>
      <w:r w:rsidR="00D40B8E">
        <w:t>La Déclaration de Fribourg décline ainsi les droits culturels :</w:t>
      </w:r>
    </w:p>
    <w:p w14:paraId="5D3EEDDE" w14:textId="77777777" w:rsidR="00D40B8E" w:rsidRDefault="00D40B8E" w:rsidP="00D40B8E">
      <w:pPr>
        <w:jc w:val="both"/>
      </w:pPr>
      <w:r>
        <w:t>• la liberté de choisir ses références culturelles, d’établir des priorités et de les changer,</w:t>
      </w:r>
    </w:p>
    <w:p w14:paraId="523855AF" w14:textId="77777777" w:rsidR="00D40B8E" w:rsidRDefault="00D40B8E" w:rsidP="00D40B8E">
      <w:pPr>
        <w:jc w:val="both"/>
      </w:pPr>
      <w:r>
        <w:t>• la liberté d’exercer des activités culturelles, sous réserve du respect des droits d’autrui,</w:t>
      </w:r>
    </w:p>
    <w:p w14:paraId="563BF3F6" w14:textId="77777777" w:rsidR="00D40B8E" w:rsidRDefault="00D40B8E" w:rsidP="00D40B8E">
      <w:pPr>
        <w:jc w:val="both"/>
      </w:pPr>
      <w:r>
        <w:t>• le droit de connaître les patrimoines,</w:t>
      </w:r>
    </w:p>
    <w:p w14:paraId="550B18F4" w14:textId="77777777" w:rsidR="00D40B8E" w:rsidRDefault="00D40B8E" w:rsidP="00D40B8E">
      <w:pPr>
        <w:jc w:val="both"/>
      </w:pPr>
      <w:r>
        <w:t>• le droit de se référer ou de ne pas se référer à une communauté culturelle,</w:t>
      </w:r>
    </w:p>
    <w:p w14:paraId="25C93AC2" w14:textId="77777777" w:rsidR="00D40B8E" w:rsidRDefault="00D40B8E" w:rsidP="00D40B8E">
      <w:pPr>
        <w:jc w:val="both"/>
      </w:pPr>
      <w:r>
        <w:t>• le droit d’accéder et de participer à la vie culturelle, à commencer par la langue,</w:t>
      </w:r>
    </w:p>
    <w:p w14:paraId="33DFF074" w14:textId="77777777" w:rsidR="00D40B8E" w:rsidRDefault="00D40B8E" w:rsidP="00D40B8E">
      <w:pPr>
        <w:jc w:val="both"/>
      </w:pPr>
      <w:r>
        <w:t>• le droit à l’éducation,</w:t>
      </w:r>
    </w:p>
    <w:p w14:paraId="31187306" w14:textId="77777777" w:rsidR="00D40B8E" w:rsidRDefault="00D40B8E" w:rsidP="00D40B8E">
      <w:pPr>
        <w:jc w:val="both"/>
      </w:pPr>
      <w:r>
        <w:t>• le droit à une information adéquate,</w:t>
      </w:r>
    </w:p>
    <w:p w14:paraId="120181B4" w14:textId="0A85BA78" w:rsidR="00D40B8E" w:rsidRDefault="00D40B8E" w:rsidP="00AD0532">
      <w:pPr>
        <w:spacing w:after="120"/>
        <w:jc w:val="both"/>
      </w:pPr>
      <w:r>
        <w:t xml:space="preserve">• le droit de participer à la vie culturelle et à ses politiques. </w:t>
      </w:r>
      <w:r w:rsidR="00BC5708">
        <w:t>"</w:t>
      </w:r>
    </w:p>
    <w:p w14:paraId="5ED985AB" w14:textId="474F3E5F" w:rsidR="00D40B8E" w:rsidRDefault="00D40B8E" w:rsidP="00AD0532">
      <w:pPr>
        <w:spacing w:after="120"/>
        <w:jc w:val="both"/>
      </w:pPr>
      <w:r>
        <w:t>Vous pouvez retrouver l’ensemble de la déclaration de Fribourg en</w:t>
      </w:r>
      <w:r>
        <w:rPr>
          <w:rStyle w:val="lev"/>
        </w:rPr>
        <w:t xml:space="preserve"> français : </w:t>
      </w:r>
      <w:r>
        <w:t xml:space="preserve">PDF </w:t>
      </w:r>
      <w:hyperlink r:id="rId22" w:history="1">
        <w:r>
          <w:rPr>
            <w:rStyle w:val="Lienhypertexte"/>
          </w:rPr>
          <w:t>livret</w:t>
        </w:r>
      </w:hyperlink>
      <w:r>
        <w:t xml:space="preserve"> et </w:t>
      </w:r>
      <w:hyperlink r:id="rId23" w:history="1">
        <w:r>
          <w:rPr>
            <w:rStyle w:val="Lienhypertexte"/>
          </w:rPr>
          <w:t>Affiche</w:t>
        </w:r>
      </w:hyperlink>
    </w:p>
    <w:p w14:paraId="756AD194" w14:textId="77777777" w:rsidR="00D40B8E" w:rsidRPr="00AD0532" w:rsidRDefault="00D40B8E" w:rsidP="00D40B8E">
      <w:pPr>
        <w:jc w:val="both"/>
        <w:rPr>
          <w:sz w:val="16"/>
          <w:szCs w:val="16"/>
        </w:rPr>
      </w:pPr>
    </w:p>
    <w:p w14:paraId="1DF71247" w14:textId="56451BA4" w:rsidR="00D40B8E" w:rsidRDefault="00BC5708" w:rsidP="00D40B8E">
      <w:pPr>
        <w:jc w:val="both"/>
      </w:pPr>
      <w:r>
        <w:t>"</w:t>
      </w:r>
      <w:r w:rsidR="00D40B8E">
        <w:t> Les droits culturels font le lit du communautarisme… </w:t>
      </w:r>
      <w:r>
        <w:t>"</w:t>
      </w:r>
      <w:r w:rsidR="00D40B8E">
        <w:t xml:space="preserve"> ; </w:t>
      </w:r>
      <w:r>
        <w:t>"</w:t>
      </w:r>
      <w:r w:rsidR="00D40B8E">
        <w:t> Les droits culturels conduisent au relativisme entre les cultures… </w:t>
      </w:r>
      <w:r>
        <w:t>"</w:t>
      </w:r>
      <w:r w:rsidR="00D40B8E">
        <w:t xml:space="preserve"> ; </w:t>
      </w:r>
      <w:r>
        <w:t>"</w:t>
      </w:r>
      <w:r w:rsidR="00D40B8E">
        <w:t> Les droits culturels sont inapplicables… </w:t>
      </w:r>
      <w:r>
        <w:t>"</w:t>
      </w:r>
      <w:r w:rsidR="00D40B8E">
        <w:t xml:space="preserve"> Telles sont quelques-unes des controverses soumises par l’OPC à Johanne Bouchard, membre de l’Observatoire de la diversité et des droits culturels. : </w:t>
      </w:r>
      <w:hyperlink r:id="rId24" w:history="1">
        <w:r w:rsidR="00D40B8E" w:rsidRPr="00281481">
          <w:rPr>
            <w:rStyle w:val="Lienhypertexte"/>
          </w:rPr>
          <w:t>https://www.observatoire-culture.net/controverses-droits-culturels/</w:t>
        </w:r>
      </w:hyperlink>
      <w:r w:rsidR="00D40B8E">
        <w:t xml:space="preserve"> </w:t>
      </w:r>
    </w:p>
    <w:p w14:paraId="6E760B20" w14:textId="0CEF56E5" w:rsidR="00050C38" w:rsidRDefault="00AD0532" w:rsidP="00050C38">
      <w:pPr>
        <w:pStyle w:val="Titre3"/>
      </w:pPr>
      <w:r>
        <w:rPr>
          <w:noProof/>
        </w:rPr>
        <w:drawing>
          <wp:anchor distT="0" distB="0" distL="114300" distR="114300" simplePos="0" relativeHeight="251674624" behindDoc="0" locked="0" layoutInCell="1" allowOverlap="1" wp14:anchorId="29A1D29F" wp14:editId="4BD5CB3B">
            <wp:simplePos x="0" y="0"/>
            <wp:positionH relativeFrom="column">
              <wp:posOffset>38100</wp:posOffset>
            </wp:positionH>
            <wp:positionV relativeFrom="paragraph">
              <wp:posOffset>332105</wp:posOffset>
            </wp:positionV>
            <wp:extent cx="827405" cy="1057275"/>
            <wp:effectExtent l="0" t="0" r="0"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7405" cy="1057275"/>
                    </a:xfrm>
                    <a:prstGeom prst="rect">
                      <a:avLst/>
                    </a:prstGeom>
                    <a:noFill/>
                  </pic:spPr>
                </pic:pic>
              </a:graphicData>
            </a:graphic>
            <wp14:sizeRelH relativeFrom="margin">
              <wp14:pctWidth>0</wp14:pctWidth>
            </wp14:sizeRelH>
            <wp14:sizeRelV relativeFrom="margin">
              <wp14:pctHeight>0</wp14:pctHeight>
            </wp14:sizeRelV>
          </wp:anchor>
        </w:drawing>
      </w:r>
      <w:r w:rsidR="00050C38">
        <w:t>Déclaration universelle de l’UNESCO sur la diversité culturelle (2002)</w:t>
      </w:r>
    </w:p>
    <w:p w14:paraId="4195ACB5" w14:textId="2012104D" w:rsidR="00050C38" w:rsidRDefault="00050C38" w:rsidP="00050C38">
      <w:pPr>
        <w:jc w:val="both"/>
      </w:pPr>
      <w:r>
        <w:t xml:space="preserve"> </w:t>
      </w:r>
      <w:hyperlink r:id="rId26" w:history="1">
        <w:r w:rsidR="00C847EC">
          <w:rPr>
            <w:rStyle w:val="Lienhypertexte"/>
          </w:rPr>
          <w:t>unesdoc.unesco.org</w:t>
        </w:r>
      </w:hyperlink>
      <w:r>
        <w:t xml:space="preserve"> </w:t>
      </w:r>
    </w:p>
    <w:p w14:paraId="4CF67A12" w14:textId="26B5F0AA" w:rsidR="000C3016" w:rsidRDefault="000C3016" w:rsidP="000C3016"/>
    <w:p w14:paraId="2CDE615B" w14:textId="6A49B15B" w:rsidR="000C3016" w:rsidRDefault="000C3016" w:rsidP="000C3016"/>
    <w:p w14:paraId="2825CCF9" w14:textId="4D3528EC" w:rsidR="000C3016" w:rsidRDefault="000C3016" w:rsidP="000C3016"/>
    <w:p w14:paraId="0B6FD5FB" w14:textId="5C70B568" w:rsidR="000C3016" w:rsidRDefault="000C3016" w:rsidP="000C3016"/>
    <w:p w14:paraId="5BC92EB2" w14:textId="77777777" w:rsidR="00AD0532" w:rsidRPr="00AD0532" w:rsidRDefault="00AD0532" w:rsidP="00AD0532">
      <w:pPr>
        <w:rPr>
          <w:sz w:val="16"/>
          <w:szCs w:val="16"/>
        </w:rPr>
      </w:pPr>
    </w:p>
    <w:p w14:paraId="1A34B2C5" w14:textId="6D9DDA36" w:rsidR="00050C38" w:rsidRPr="00050C38" w:rsidRDefault="00050C38" w:rsidP="00050C38">
      <w:pPr>
        <w:pStyle w:val="Titre3"/>
      </w:pPr>
      <w:r w:rsidRPr="00050C38">
        <w:t>Déclaration universelle des droits de l’homme</w:t>
      </w:r>
      <w:r>
        <w:t xml:space="preserve"> (1948)</w:t>
      </w:r>
    </w:p>
    <w:p w14:paraId="72BAEA28" w14:textId="77777777" w:rsidR="00050C38" w:rsidRDefault="00050C38" w:rsidP="00050C38">
      <w:pPr>
        <w:jc w:val="both"/>
      </w:pPr>
      <w:r>
        <w:t>Article 261. Toute personne a droit à l’éducation. L’éducation doit être gratuite, au moins en ce qui concerne l’enseignement élémentaire et fondamental. L’enseignement élémentaire est obligatoire. L’enseignement technique et professionnel doit être généralisé ; l’accès aux études supérieures doit être ouvert en pleine égalité à tous en fonction de leur mérite.2. L’éducation doit viser au plein épanouissement de la personnalité humaine et au renforcement du respect des droits de l’homme et des libertés fondamentales. Elle doit favoriser la compréhension, la tolérance et l’amitié entre toutes les nations et tous les groupes raciaux ou religieux, ainsi que le développement des activités des Nations Unies pour le maintien de la paix.3. Les parents ont, par priorité, le droit de choisir le genre d’éducation à donner à leurs enfants.</w:t>
      </w:r>
    </w:p>
    <w:p w14:paraId="6C863B32" w14:textId="77777777" w:rsidR="00050C38" w:rsidRDefault="00050C38" w:rsidP="00050C38">
      <w:pPr>
        <w:jc w:val="both"/>
      </w:pPr>
      <w:r>
        <w:t xml:space="preserve">Article 271. Toute personne a le droit de prendre part librement à la vie culturelle de la communauté, de jouir des arts et de participer au progrès scientifique et aux bienfaits qui en résultent.2. Chacun </w:t>
      </w:r>
      <w:r>
        <w:lastRenderedPageBreak/>
        <w:t>a droit à la protection des intérêts moraux et matériels découlant de toute production scientifique, littéraire ou artistique dont il est l’auteur.</w:t>
      </w:r>
    </w:p>
    <w:p w14:paraId="2A84FCD8" w14:textId="20B8C1F2" w:rsidR="00D40B8E" w:rsidRPr="00050C38" w:rsidRDefault="00D40B8E" w:rsidP="00050C38">
      <w:pPr>
        <w:pStyle w:val="Titre2"/>
      </w:pPr>
      <w:r w:rsidRPr="00050C38">
        <w:t>Les droits culturels dans la loi française</w:t>
      </w:r>
    </w:p>
    <w:p w14:paraId="2055D491" w14:textId="6A4EF72C" w:rsidR="00D40B8E" w:rsidRDefault="00BC5708" w:rsidP="00AD0532">
      <w:pPr>
        <w:jc w:val="both"/>
      </w:pPr>
      <w:r>
        <w:t>"</w:t>
      </w:r>
      <w:r w:rsidR="00D40B8E">
        <w:t> La responsabilité en matière culturelle est exercée conjointement par les collectivités territoriales et l'</w:t>
      </w:r>
      <w:r w:rsidR="00FE136A">
        <w:t>État</w:t>
      </w:r>
      <w:r w:rsidR="00D40B8E">
        <w:t xml:space="preserve"> dans le respect des droits culturels énoncés par la convention sur la protection et la promotion de la diversité des expressions culturelles du 20 octobre 2005. </w:t>
      </w:r>
      <w:r>
        <w:t>"</w:t>
      </w:r>
      <w:r w:rsidR="00AD0532">
        <w:t xml:space="preserve"> </w:t>
      </w:r>
      <w:hyperlink r:id="rId27" w:history="1">
        <w:r w:rsidR="00D40B8E">
          <w:rPr>
            <w:rStyle w:val="Lienhypertexte"/>
          </w:rPr>
          <w:t>L</w:t>
        </w:r>
        <w:r>
          <w:rPr>
            <w:rStyle w:val="Lienhypertexte"/>
          </w:rPr>
          <w:t>oi</w:t>
        </w:r>
        <w:r w:rsidR="00D40B8E">
          <w:rPr>
            <w:rStyle w:val="Lienhypertexte"/>
          </w:rPr>
          <w:t xml:space="preserve"> n° 2015-991 du 7 août 2015 portant nouvelle organisation territoriale de la République</w:t>
        </w:r>
      </w:hyperlink>
      <w:r w:rsidR="00D40B8E">
        <w:t xml:space="preserve"> (Loi NOTRE) art 103</w:t>
      </w:r>
    </w:p>
    <w:p w14:paraId="333AB699" w14:textId="77777777" w:rsidR="00AD0532" w:rsidRPr="00AD0532" w:rsidRDefault="00AD0532" w:rsidP="00AD0532">
      <w:pPr>
        <w:rPr>
          <w:sz w:val="16"/>
          <w:szCs w:val="16"/>
        </w:rPr>
      </w:pPr>
    </w:p>
    <w:p w14:paraId="3C8250D3" w14:textId="6C2F6C07" w:rsidR="00D40B8E" w:rsidRDefault="009D3A71" w:rsidP="00AD0532">
      <w:r>
        <w:t xml:space="preserve">" </w:t>
      </w:r>
      <w:r w:rsidR="00D40B8E">
        <w:t>L'</w:t>
      </w:r>
      <w:r>
        <w:t>État</w:t>
      </w:r>
      <w:r w:rsidR="00D40B8E">
        <w:t>, à travers ses services centraux et déconcentrés, les collectivités territoriales et leurs groupements ainsi que leurs établissements publics définissent et mettent en œuvre, dans le respect des droits culturels énoncés par la convention de l'Organisation des Nations unies pour l'éducation, la science et la culture sur la protection et la promotion de la diversité des expressions culturelles du 20 octobre 2005, une politique de service public construite en concertation avec les acteurs de la création artistique.</w:t>
      </w:r>
      <w:r>
        <w:t>"</w:t>
      </w:r>
      <w:r w:rsidR="00AD0532">
        <w:t xml:space="preserve"> </w:t>
      </w:r>
      <w:hyperlink r:id="rId28" w:tgtFrame="_blank" w:tooltip="Nouvelle fenêtre vers le site de legisfrance" w:history="1">
        <w:r w:rsidR="00C847EC">
          <w:rPr>
            <w:color w:val="0000FF"/>
            <w:u w:val="single"/>
          </w:rPr>
          <w:t>L</w:t>
        </w:r>
        <w:r w:rsidR="00D40B8E" w:rsidRPr="007C4CEA">
          <w:rPr>
            <w:color w:val="0000FF"/>
            <w:u w:val="single"/>
          </w:rPr>
          <w:t xml:space="preserve">oi </w:t>
        </w:r>
        <w:proofErr w:type="spellStart"/>
        <w:r w:rsidR="00D40B8E" w:rsidRPr="007C4CEA">
          <w:rPr>
            <w:color w:val="0000FF"/>
            <w:u w:val="single"/>
          </w:rPr>
          <w:t>Création</w:t>
        </w:r>
        <w:proofErr w:type="spellEnd"/>
        <w:r w:rsidR="00D40B8E" w:rsidRPr="007C4CEA">
          <w:rPr>
            <w:color w:val="0000FF"/>
            <w:u w:val="single"/>
          </w:rPr>
          <w:t xml:space="preserve"> Architecture et Patrimoine (LCAP)</w:t>
        </w:r>
      </w:hyperlink>
      <w:r w:rsidR="00D40B8E" w:rsidRPr="007C4CEA">
        <w:t xml:space="preserve"> </w:t>
      </w:r>
      <w:r w:rsidR="00D40B8E">
        <w:t>, art 3</w:t>
      </w:r>
    </w:p>
    <w:p w14:paraId="6E6386C4" w14:textId="77777777" w:rsidR="00D40B8E" w:rsidRPr="00AD0532" w:rsidRDefault="00D40B8E" w:rsidP="00D40B8E">
      <w:pPr>
        <w:jc w:val="both"/>
        <w:rPr>
          <w:sz w:val="16"/>
          <w:szCs w:val="16"/>
        </w:rPr>
      </w:pPr>
    </w:p>
    <w:p w14:paraId="616E3A64" w14:textId="6DA01B9A" w:rsidR="00D40B8E" w:rsidRPr="00566F71" w:rsidRDefault="009D3A71" w:rsidP="00D40B8E">
      <w:pPr>
        <w:rPr>
          <w:color w:val="FF0000"/>
          <w:lang w:eastAsia="fr-FR"/>
        </w:rPr>
      </w:pPr>
      <w:r>
        <w:t xml:space="preserve">" </w:t>
      </w:r>
      <w:r w:rsidR="00D40B8E">
        <w:t>Par leur action de médiation, elles garantissent la participation et la diversification des publics et l'exercice de leurs droits culturels.</w:t>
      </w:r>
      <w:r>
        <w:t>"</w:t>
      </w:r>
      <w:r w:rsidR="00AD0532">
        <w:t xml:space="preserve"> </w:t>
      </w:r>
      <w:hyperlink r:id="rId29" w:history="1">
        <w:r w:rsidRPr="009D3A71">
          <w:rPr>
            <w:rStyle w:val="Lienhypertexte"/>
            <w:lang w:eastAsia="fr-FR"/>
          </w:rPr>
          <w:t>Loi du 21 décembre 2021 relative aux bibliothèques et au développement de la lecture publique (dite Loi Robert)</w:t>
        </w:r>
      </w:hyperlink>
      <w:r w:rsidR="00D40B8E" w:rsidRPr="009D3A71">
        <w:rPr>
          <w:rFonts w:eastAsia="Times New Roman"/>
          <w:lang w:eastAsia="fr-FR"/>
        </w:rPr>
        <w:t>, art 1</w:t>
      </w:r>
      <w:r w:rsidR="00D40B8E">
        <w:rPr>
          <w:rFonts w:eastAsia="Times New Roman"/>
          <w:lang w:eastAsia="fr-FR"/>
        </w:rPr>
        <w:t xml:space="preserve"> </w:t>
      </w:r>
    </w:p>
    <w:p w14:paraId="792DB79A" w14:textId="4E983EE5" w:rsidR="00D40B8E" w:rsidRDefault="00050C38" w:rsidP="00050C38">
      <w:pPr>
        <w:pStyle w:val="Titre2"/>
      </w:pPr>
      <w:r>
        <w:t>Les d</w:t>
      </w:r>
      <w:r w:rsidR="00F54C7C">
        <w:t>roits culturels e</w:t>
      </w:r>
      <w:r>
        <w:t>n</w:t>
      </w:r>
      <w:r w:rsidR="00F54C7C">
        <w:t xml:space="preserve"> </w:t>
      </w:r>
      <w:r w:rsidR="00D40B8E">
        <w:t>bibliothèque</w:t>
      </w:r>
    </w:p>
    <w:p w14:paraId="456E8376" w14:textId="77777777" w:rsidR="009D3A71" w:rsidRDefault="009D3A71" w:rsidP="00050C38">
      <w:pPr>
        <w:pStyle w:val="Titre3"/>
      </w:pPr>
      <w:proofErr w:type="spellStart"/>
      <w:r>
        <w:t>Bib'lib</w:t>
      </w:r>
      <w:proofErr w:type="spellEnd"/>
      <w:r>
        <w:t xml:space="preserve"> -Bibliothèque pour l'accès libre à l'information et aux savoirs (2018)</w:t>
      </w:r>
    </w:p>
    <w:p w14:paraId="3BB60F86" w14:textId="6150B23F" w:rsidR="009D3A71" w:rsidRPr="00A305D0" w:rsidRDefault="009D3A71" w:rsidP="009D3A71">
      <w:pPr>
        <w:jc w:val="both"/>
      </w:pPr>
      <w:r w:rsidRPr="00E55C63">
        <w:rPr>
          <w:noProof/>
        </w:rPr>
        <w:drawing>
          <wp:anchor distT="0" distB="0" distL="114300" distR="114300" simplePos="0" relativeHeight="251671552" behindDoc="0" locked="0" layoutInCell="1" allowOverlap="1" wp14:anchorId="52DDBA9A" wp14:editId="1F4C9657">
            <wp:simplePos x="0" y="0"/>
            <wp:positionH relativeFrom="margin">
              <wp:align>left</wp:align>
            </wp:positionH>
            <wp:positionV relativeFrom="paragraph">
              <wp:posOffset>31115</wp:posOffset>
            </wp:positionV>
            <wp:extent cx="1456055" cy="990600"/>
            <wp:effectExtent l="19050" t="19050" r="10795" b="19050"/>
            <wp:wrapSquare wrapText="bothSides"/>
            <wp:docPr id="11" name="Image 11"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logo&#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1456055" cy="990600"/>
                    </a:xfrm>
                    <a:prstGeom prst="rect">
                      <a:avLst/>
                    </a:prstGeom>
                    <a:ln>
                      <a:solidFill>
                        <a:srgbClr val="4472C4"/>
                      </a:solidFill>
                    </a:ln>
                  </pic:spPr>
                </pic:pic>
              </a:graphicData>
            </a:graphic>
            <wp14:sizeRelH relativeFrom="margin">
              <wp14:pctWidth>0</wp14:pctWidth>
            </wp14:sizeRelH>
            <wp14:sizeRelV relativeFrom="margin">
              <wp14:pctHeight>0</wp14:pctHeight>
            </wp14:sizeRelV>
          </wp:anchor>
        </w:drawing>
      </w:r>
      <w:r w:rsidRPr="00E55C63">
        <w:t xml:space="preserve"> </w:t>
      </w:r>
      <w:r>
        <w:t xml:space="preserve">Charte de l’ABF qui met le citoyen au cœur de la bibliothèque et décline le </w:t>
      </w:r>
      <w:r w:rsidR="00EC7307">
        <w:t>"</w:t>
      </w:r>
      <w:r>
        <w:t>droit fondamental</w:t>
      </w:r>
      <w:r w:rsidR="00EC7307">
        <w:t>"</w:t>
      </w:r>
      <w:r>
        <w:t xml:space="preserve"> à l’information et aux savoirs.</w:t>
      </w:r>
    </w:p>
    <w:p w14:paraId="527E505C" w14:textId="62E6A27C" w:rsidR="009D3A71" w:rsidRDefault="00DF7D14" w:rsidP="009D3A71">
      <w:hyperlink r:id="rId31" w:history="1">
        <w:r w:rsidR="00C847EC">
          <w:rPr>
            <w:rStyle w:val="Lienhypertexte"/>
          </w:rPr>
          <w:t>abf.asso.fr : charte-du-droit-fondamental-des-citoyens-a-acceder-a-l-information-et-aux-savoirs-par-les-bibliotheques</w:t>
        </w:r>
      </w:hyperlink>
      <w:r w:rsidR="009D3A71">
        <w:t xml:space="preserve"> </w:t>
      </w:r>
    </w:p>
    <w:p w14:paraId="1C03CDA2" w14:textId="58F48456" w:rsidR="00D40B8E" w:rsidRDefault="00D40B8E" w:rsidP="00D40B8E">
      <w:pPr>
        <w:jc w:val="both"/>
      </w:pPr>
    </w:p>
    <w:p w14:paraId="761980D2" w14:textId="77777777" w:rsidR="00050C38" w:rsidRPr="00AD0532" w:rsidRDefault="00050C38" w:rsidP="00AD0532">
      <w:pPr>
        <w:rPr>
          <w:sz w:val="16"/>
          <w:szCs w:val="16"/>
        </w:rPr>
      </w:pPr>
    </w:p>
    <w:p w14:paraId="2476CD20" w14:textId="06A80020" w:rsidR="009D3A71" w:rsidRDefault="009D3A71" w:rsidP="00050C38">
      <w:pPr>
        <w:pStyle w:val="Titre3"/>
      </w:pPr>
      <w:r>
        <w:t>IFLA Les communautés multiculturelles : Directives pour les bibliothèques 3e édition, (2009)</w:t>
      </w:r>
    </w:p>
    <w:p w14:paraId="7CA7FD7E" w14:textId="79EAC5B4" w:rsidR="009D3A71" w:rsidRDefault="00EC7307" w:rsidP="009D3A71">
      <w:pPr>
        <w:jc w:val="both"/>
      </w:pPr>
      <w:r>
        <w:t>"</w:t>
      </w:r>
      <w:r w:rsidR="009D3A71">
        <w:t>Ces directives ont été compilées et publiées afin de promouvoir des normes d’impartialité et d’équité dans les services des bibliothèques à destination des communautés multiculturelles</w:t>
      </w:r>
      <w:r>
        <w:t>."</w:t>
      </w:r>
    </w:p>
    <w:p w14:paraId="53B4D431" w14:textId="72A84FC6" w:rsidR="009D3A71" w:rsidRDefault="00DF7D14" w:rsidP="009D3A71">
      <w:pPr>
        <w:jc w:val="both"/>
      </w:pPr>
      <w:hyperlink r:id="rId32" w:history="1">
        <w:r w:rsidR="00C847EC">
          <w:rPr>
            <w:rStyle w:val="Lienhypertexte"/>
          </w:rPr>
          <w:t>ifla.org : multicultural-communities-fr.pdf</w:t>
        </w:r>
      </w:hyperlink>
      <w:r w:rsidR="009D3A71">
        <w:t xml:space="preserve"> </w:t>
      </w:r>
    </w:p>
    <w:p w14:paraId="1EC171CD" w14:textId="58304CC3" w:rsidR="00D40B8E" w:rsidRDefault="00D40B8E" w:rsidP="00050C38">
      <w:pPr>
        <w:pStyle w:val="Titre3"/>
      </w:pPr>
      <w:r>
        <w:t>Manifeste de l’IFLA sur la bibliothèque multiculturelle (2006)</w:t>
      </w:r>
    </w:p>
    <w:p w14:paraId="7E3778DF" w14:textId="2B23C3AC" w:rsidR="00D40B8E" w:rsidRDefault="00D40B8E" w:rsidP="00D40B8E">
      <w:pPr>
        <w:jc w:val="both"/>
      </w:pPr>
      <w:r>
        <w:t>Charte portant sur la diversité culturelle et linguistique des bibliothèques "à la lumière de leur engagement envers les principes des droits et libertés fondamentaux et de l’égalité d’accès à l’information et à la connaissance pour tous, dans le respect de l’identité culturelle et des valeurs."</w:t>
      </w:r>
    </w:p>
    <w:p w14:paraId="3124F414" w14:textId="3AF6170D" w:rsidR="00D40B8E" w:rsidRDefault="00DF7D14" w:rsidP="00D40B8E">
      <w:pPr>
        <w:jc w:val="both"/>
      </w:pPr>
      <w:hyperlink r:id="rId33" w:history="1">
        <w:r w:rsidR="00C847EC">
          <w:rPr>
            <w:rStyle w:val="Lienhypertexte"/>
          </w:rPr>
          <w:t>enssib.fr : manifeste-de-l-</w:t>
        </w:r>
        <w:proofErr w:type="spellStart"/>
        <w:r w:rsidR="00C847EC">
          <w:rPr>
            <w:rStyle w:val="Lienhypertexte"/>
          </w:rPr>
          <w:t>ifla</w:t>
        </w:r>
        <w:proofErr w:type="spellEnd"/>
        <w:r w:rsidR="00C847EC">
          <w:rPr>
            <w:rStyle w:val="Lienhypertexte"/>
          </w:rPr>
          <w:t>-sur-la-bibliotheque-multiculturelle</w:t>
        </w:r>
      </w:hyperlink>
      <w:r w:rsidR="00D40B8E">
        <w:t xml:space="preserve">  </w:t>
      </w:r>
    </w:p>
    <w:p w14:paraId="055DBB49" w14:textId="77777777" w:rsidR="00DF3878" w:rsidRDefault="00DF3878" w:rsidP="00364DD5">
      <w:pPr>
        <w:jc w:val="both"/>
        <w:rPr>
          <w:rFonts w:asciiTheme="majorHAnsi" w:eastAsiaTheme="majorEastAsia" w:hAnsiTheme="majorHAnsi" w:cstheme="majorBidi"/>
          <w:color w:val="2F5496" w:themeColor="accent1" w:themeShade="BF"/>
          <w:sz w:val="40"/>
          <w:szCs w:val="32"/>
        </w:rPr>
      </w:pPr>
      <w:r>
        <w:br w:type="page"/>
      </w:r>
    </w:p>
    <w:p w14:paraId="699ED825" w14:textId="6CAEB4DF" w:rsidR="00483D60" w:rsidRPr="00050C38" w:rsidRDefault="009E771F" w:rsidP="00050C38">
      <w:pPr>
        <w:pStyle w:val="Titre1"/>
      </w:pPr>
      <w:r w:rsidRPr="00050C38">
        <w:lastRenderedPageBreak/>
        <w:t xml:space="preserve">Études et </w:t>
      </w:r>
      <w:r w:rsidR="00483D60" w:rsidRPr="00050C38">
        <w:t>rapports</w:t>
      </w:r>
    </w:p>
    <w:p w14:paraId="7C120374" w14:textId="6CC6F92C" w:rsidR="000C3016" w:rsidRPr="00BE4F0B" w:rsidRDefault="00DF7D14" w:rsidP="000C3016">
      <w:pPr>
        <w:pStyle w:val="Titre3"/>
        <w:rPr>
          <w:rStyle w:val="ezstring-field"/>
        </w:rPr>
      </w:pPr>
      <w:hyperlink r:id="rId34" w:tgtFrame="_blank" w:history="1">
        <w:r w:rsidR="000C3016" w:rsidRPr="00BE4F0B">
          <w:rPr>
            <w:rStyle w:val="ezstring-field"/>
          </w:rPr>
          <w:t>Bibliothèque territoriales, dispositifs d'accompagnement de l'</w:t>
        </w:r>
        <w:r w:rsidR="00EC7307" w:rsidRPr="00BE4F0B">
          <w:rPr>
            <w:rStyle w:val="ezstring-field"/>
          </w:rPr>
          <w:t>État</w:t>
        </w:r>
        <w:r w:rsidR="000C3016" w:rsidRPr="00BE4F0B">
          <w:rPr>
            <w:rStyle w:val="ezstring-field"/>
          </w:rPr>
          <w:t xml:space="preserve"> et témoignages d'élus </w:t>
        </w:r>
      </w:hyperlink>
      <w:r w:rsidR="000C3016">
        <w:rPr>
          <w:rStyle w:val="ezstring-field"/>
        </w:rPr>
        <w:t>(2022)</w:t>
      </w:r>
    </w:p>
    <w:p w14:paraId="036CB2BF" w14:textId="12753FE4" w:rsidR="000C3016" w:rsidRDefault="00F63B17" w:rsidP="000C3016">
      <w:pPr>
        <w:rPr>
          <w:rStyle w:val="Lienhypertexte"/>
        </w:rPr>
      </w:pPr>
      <w:r w:rsidRPr="00F63B17">
        <w:rPr>
          <w:noProof/>
        </w:rPr>
        <w:drawing>
          <wp:anchor distT="0" distB="0" distL="114300" distR="114300" simplePos="0" relativeHeight="251675648" behindDoc="0" locked="0" layoutInCell="1" allowOverlap="1" wp14:anchorId="7D6F2539" wp14:editId="405D8409">
            <wp:simplePos x="0" y="0"/>
            <wp:positionH relativeFrom="column">
              <wp:posOffset>0</wp:posOffset>
            </wp:positionH>
            <wp:positionV relativeFrom="paragraph">
              <wp:posOffset>-1270</wp:posOffset>
            </wp:positionV>
            <wp:extent cx="2724150" cy="1078947"/>
            <wp:effectExtent l="0" t="0" r="0" b="698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724150" cy="1078947"/>
                    </a:xfrm>
                    <a:prstGeom prst="rect">
                      <a:avLst/>
                    </a:prstGeom>
                  </pic:spPr>
                </pic:pic>
              </a:graphicData>
            </a:graphic>
          </wp:anchor>
        </w:drawing>
      </w:r>
      <w:hyperlink r:id="rId36" w:history="1">
        <w:r w:rsidR="00C847EC">
          <w:rPr>
            <w:rStyle w:val="Lienhypertexte"/>
          </w:rPr>
          <w:t>culture.gouv.fr : guide-Bibliotheques-territoriales-dispositifs-d-accompagnement-de-l-Etat-et-temoignages-d-elus</w:t>
        </w:r>
      </w:hyperlink>
    </w:p>
    <w:p w14:paraId="2B2B00B5" w14:textId="5E9F1AE5" w:rsidR="000C3016" w:rsidRDefault="000C3016" w:rsidP="000C3016">
      <w:pPr>
        <w:rPr>
          <w:rStyle w:val="Lienhypertexte"/>
        </w:rPr>
      </w:pPr>
    </w:p>
    <w:p w14:paraId="18D7A3ED" w14:textId="77777777" w:rsidR="00F63B17" w:rsidRDefault="00F63B17" w:rsidP="000C3016">
      <w:pPr>
        <w:rPr>
          <w:rStyle w:val="Lienhypertexte"/>
        </w:rPr>
      </w:pPr>
    </w:p>
    <w:p w14:paraId="28320146" w14:textId="77777777" w:rsidR="00564FCC" w:rsidRDefault="00564FCC" w:rsidP="00564FCC"/>
    <w:p w14:paraId="69873436" w14:textId="17C07D59" w:rsidR="000C3016" w:rsidRDefault="00DD582D" w:rsidP="000C3016">
      <w:pPr>
        <w:pStyle w:val="Titre3"/>
      </w:pPr>
      <w:r>
        <w:rPr>
          <w:noProof/>
        </w:rPr>
        <w:drawing>
          <wp:anchor distT="0" distB="0" distL="114300" distR="114300" simplePos="0" relativeHeight="251680768" behindDoc="0" locked="0" layoutInCell="1" allowOverlap="1" wp14:anchorId="6EFD0BE4" wp14:editId="4E957D5F">
            <wp:simplePos x="0" y="0"/>
            <wp:positionH relativeFrom="margin">
              <wp:align>left</wp:align>
            </wp:positionH>
            <wp:positionV relativeFrom="paragraph">
              <wp:posOffset>334010</wp:posOffset>
            </wp:positionV>
            <wp:extent cx="1796415" cy="1209675"/>
            <wp:effectExtent l="0" t="0" r="0"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6415" cy="1209675"/>
                    </a:xfrm>
                    <a:prstGeom prst="rect">
                      <a:avLst/>
                    </a:prstGeom>
                    <a:noFill/>
                  </pic:spPr>
                </pic:pic>
              </a:graphicData>
            </a:graphic>
            <wp14:sizeRelH relativeFrom="margin">
              <wp14:pctWidth>0</wp14:pctWidth>
            </wp14:sizeRelH>
            <wp14:sizeRelV relativeFrom="margin">
              <wp14:pctHeight>0</wp14:pctHeight>
            </wp14:sizeRelV>
          </wp:anchor>
        </w:drawing>
      </w:r>
      <w:r w:rsidR="000C3016">
        <w:t>La place et le rôle des bénévoles dans les bibliothèques territoriales (2022)</w:t>
      </w:r>
    </w:p>
    <w:p w14:paraId="02EAFCCC" w14:textId="4A6820D6" w:rsidR="000C3016" w:rsidRDefault="00DF7D14" w:rsidP="00C847EC">
      <w:hyperlink r:id="rId38" w:history="1">
        <w:r w:rsidR="00C847EC">
          <w:rPr>
            <w:rStyle w:val="Lienhypertexte"/>
          </w:rPr>
          <w:t>education.gouv.fr : la-place-et-le-role-des-benevoles-dans-les-bibliotheques-territoriales</w:t>
        </w:r>
      </w:hyperlink>
      <w:r w:rsidR="000C3016">
        <w:t xml:space="preserve"> </w:t>
      </w:r>
    </w:p>
    <w:p w14:paraId="2F2A6B8D" w14:textId="089DD80F" w:rsidR="000C3016" w:rsidRDefault="000C3016" w:rsidP="000C3016"/>
    <w:p w14:paraId="2A765DE4" w14:textId="19FCAE46" w:rsidR="00F63B17" w:rsidRDefault="00F63B17" w:rsidP="000C3016"/>
    <w:p w14:paraId="0DB680FC" w14:textId="2D7EF6F3" w:rsidR="00F63B17" w:rsidRDefault="00F63B17" w:rsidP="000C3016"/>
    <w:p w14:paraId="71859DF9" w14:textId="2E0A4967" w:rsidR="00F63B17" w:rsidRDefault="00F63B17" w:rsidP="000C3016"/>
    <w:p w14:paraId="0BF0D748" w14:textId="21679B52" w:rsidR="000C3016" w:rsidRDefault="000C3016" w:rsidP="000C3016">
      <w:pPr>
        <w:pStyle w:val="Titre3"/>
        <w:rPr>
          <w:rFonts w:ascii="Times New Roman" w:hAnsi="Times New Roman"/>
        </w:rPr>
      </w:pPr>
      <w:r>
        <w:t>La prise en compte des handicaps dans les bibliothèques de l’enseignement supérieur et dans les bibliothèques territoriales (2021)</w:t>
      </w:r>
    </w:p>
    <w:p w14:paraId="317FAF57" w14:textId="39C72B6B" w:rsidR="000C3016" w:rsidRDefault="00AD0532" w:rsidP="00C847EC">
      <w:r w:rsidRPr="00AD0532">
        <w:rPr>
          <w:noProof/>
        </w:rPr>
        <w:drawing>
          <wp:anchor distT="0" distB="0" distL="114300" distR="114300" simplePos="0" relativeHeight="251677696" behindDoc="0" locked="0" layoutInCell="1" allowOverlap="1" wp14:anchorId="53B90C5B" wp14:editId="232F6881">
            <wp:simplePos x="0" y="0"/>
            <wp:positionH relativeFrom="column">
              <wp:posOffset>0</wp:posOffset>
            </wp:positionH>
            <wp:positionV relativeFrom="paragraph">
              <wp:posOffset>1270</wp:posOffset>
            </wp:positionV>
            <wp:extent cx="1866900" cy="1058745"/>
            <wp:effectExtent l="0" t="0" r="0" b="8255"/>
            <wp:wrapSquare wrapText="bothSides"/>
            <wp:docPr id="17" name="Image 17"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logo&#10;&#10;Description générée automatiquement"/>
                    <pic:cNvPicPr/>
                  </pic:nvPicPr>
                  <pic:blipFill>
                    <a:blip r:embed="rId39">
                      <a:extLst>
                        <a:ext uri="{28A0092B-C50C-407E-A947-70E740481C1C}">
                          <a14:useLocalDpi xmlns:a14="http://schemas.microsoft.com/office/drawing/2010/main" val="0"/>
                        </a:ext>
                      </a:extLst>
                    </a:blip>
                    <a:stretch>
                      <a:fillRect/>
                    </a:stretch>
                  </pic:blipFill>
                  <pic:spPr>
                    <a:xfrm>
                      <a:off x="0" y="0"/>
                      <a:ext cx="1866900" cy="1058745"/>
                    </a:xfrm>
                    <a:prstGeom prst="rect">
                      <a:avLst/>
                    </a:prstGeom>
                  </pic:spPr>
                </pic:pic>
              </a:graphicData>
            </a:graphic>
          </wp:anchor>
        </w:drawing>
      </w:r>
      <w:r w:rsidRPr="00AD0532">
        <w:t xml:space="preserve"> </w:t>
      </w:r>
      <w:hyperlink r:id="rId40" w:history="1">
        <w:r w:rsidR="00C847EC">
          <w:rPr>
            <w:rStyle w:val="Lienhypertexte"/>
          </w:rPr>
          <w:t>education.gouv.fr/:a-prise-en-compte-des-handicaps-dans-les-bibliotheques-de-l-enseignement-superieur-et-…</w:t>
        </w:r>
      </w:hyperlink>
      <w:r w:rsidR="000C3016">
        <w:t xml:space="preserve"> </w:t>
      </w:r>
    </w:p>
    <w:p w14:paraId="6EDC0C7B" w14:textId="6CC8D761" w:rsidR="000C3016" w:rsidRDefault="000C3016" w:rsidP="000C3016"/>
    <w:p w14:paraId="6FFB9F1E" w14:textId="23143DE8" w:rsidR="00AD0532" w:rsidRDefault="00AD0532" w:rsidP="000C3016"/>
    <w:p w14:paraId="5A97B86F" w14:textId="77777777" w:rsidR="00AD0532" w:rsidRDefault="00AD0532" w:rsidP="000C3016"/>
    <w:p w14:paraId="212DC3DF" w14:textId="77777777" w:rsidR="00C847EC" w:rsidRDefault="00C847EC" w:rsidP="00C847EC"/>
    <w:p w14:paraId="0A766056" w14:textId="55CFD511" w:rsidR="000C3016" w:rsidRDefault="000C3016" w:rsidP="000C3016">
      <w:pPr>
        <w:pStyle w:val="Titre3"/>
        <w:rPr>
          <w:rFonts w:ascii="Times New Roman" w:hAnsi="Times New Roman"/>
        </w:rPr>
      </w:pPr>
      <w:r>
        <w:t>L'extension des horaires d'ouverture des bibliothèques publiques (2020)</w:t>
      </w:r>
    </w:p>
    <w:p w14:paraId="7A5A6F42" w14:textId="27162003" w:rsidR="000C3016" w:rsidRDefault="00DF7D14" w:rsidP="000C3016">
      <w:pPr>
        <w:jc w:val="both"/>
      </w:pPr>
      <w:hyperlink r:id="rId41" w:history="1">
        <w:r w:rsidR="00C847EC">
          <w:rPr>
            <w:rStyle w:val="Lienhypertexte"/>
          </w:rPr>
          <w:t>Senat.fr: L'extension des horaires d'ouverture des bibliothèques publiques</w:t>
        </w:r>
      </w:hyperlink>
      <w:r w:rsidR="000C3016">
        <w:t xml:space="preserve"> </w:t>
      </w:r>
    </w:p>
    <w:p w14:paraId="57619B45" w14:textId="3A61B66C" w:rsidR="00EC7307" w:rsidRDefault="00EC7307" w:rsidP="00EC7307">
      <w:pPr>
        <w:pStyle w:val="Titre3"/>
      </w:pPr>
      <w:r>
        <w:t>Comment apprécier les effets de l'action des bibliothèques publiques ? (2019)</w:t>
      </w:r>
    </w:p>
    <w:p w14:paraId="64DB97F6" w14:textId="4D9ADFE6" w:rsidR="00EC7307" w:rsidRDefault="00EC7307" w:rsidP="000C3016">
      <w:pPr>
        <w:jc w:val="both"/>
      </w:pPr>
      <w:r>
        <w:rPr>
          <w:noProof/>
        </w:rPr>
        <w:drawing>
          <wp:anchor distT="0" distB="0" distL="114300" distR="114300" simplePos="0" relativeHeight="251678720" behindDoc="0" locked="0" layoutInCell="1" allowOverlap="1" wp14:anchorId="776ADBBF" wp14:editId="4E64C8DD">
            <wp:simplePos x="0" y="0"/>
            <wp:positionH relativeFrom="column">
              <wp:posOffset>3810</wp:posOffset>
            </wp:positionH>
            <wp:positionV relativeFrom="paragraph">
              <wp:posOffset>-2540</wp:posOffset>
            </wp:positionV>
            <wp:extent cx="2889885" cy="1859280"/>
            <wp:effectExtent l="0" t="0" r="5715" b="762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9885" cy="1859280"/>
                    </a:xfrm>
                    <a:prstGeom prst="rect">
                      <a:avLst/>
                    </a:prstGeom>
                    <a:noFill/>
                  </pic:spPr>
                </pic:pic>
              </a:graphicData>
            </a:graphic>
          </wp:anchor>
        </w:drawing>
      </w:r>
    </w:p>
    <w:p w14:paraId="7B76B982" w14:textId="726D4D0A" w:rsidR="000C3016" w:rsidRPr="00EC7307" w:rsidRDefault="00DF7D14" w:rsidP="00EC7307">
      <w:pPr>
        <w:rPr>
          <w:sz w:val="18"/>
          <w:szCs w:val="18"/>
        </w:rPr>
      </w:pPr>
      <w:hyperlink r:id="rId43" w:history="1">
        <w:r w:rsidR="00C847EC">
          <w:rPr>
            <w:rStyle w:val="Lienhypertexte"/>
            <w:sz w:val="18"/>
            <w:szCs w:val="18"/>
          </w:rPr>
          <w:t>Culture.gouv.fr:comment-apprecier-les-effets-de-l-action-des-bibliotheques-publiques</w:t>
        </w:r>
      </w:hyperlink>
      <w:r w:rsidR="000C3016" w:rsidRPr="00EC7307">
        <w:rPr>
          <w:sz w:val="18"/>
          <w:szCs w:val="18"/>
        </w:rPr>
        <w:t xml:space="preserve"> </w:t>
      </w:r>
    </w:p>
    <w:p w14:paraId="1F106F89" w14:textId="77777777" w:rsidR="00EC7307" w:rsidRDefault="00EC7307" w:rsidP="00EC7307">
      <w:pPr>
        <w:rPr>
          <w:sz w:val="18"/>
          <w:szCs w:val="18"/>
        </w:rPr>
      </w:pPr>
    </w:p>
    <w:p w14:paraId="14B7B12E" w14:textId="57580A6C" w:rsidR="000C3016" w:rsidRPr="00EC7307" w:rsidRDefault="00DF7D14" w:rsidP="00EC7307">
      <w:pPr>
        <w:rPr>
          <w:sz w:val="18"/>
          <w:szCs w:val="18"/>
        </w:rPr>
      </w:pPr>
      <w:hyperlink r:id="rId44" w:history="1">
        <w:r w:rsidR="00C847EC">
          <w:rPr>
            <w:rStyle w:val="Lienhypertexte"/>
            <w:sz w:val="18"/>
            <w:szCs w:val="18"/>
          </w:rPr>
          <w:t>Lagazettedescommunes.com : a-quoi-servent-les-bibliotheques-un-rapport-livre-une-methode-devaluation</w:t>
        </w:r>
      </w:hyperlink>
      <w:r w:rsidR="000C3016" w:rsidRPr="00EC7307">
        <w:rPr>
          <w:sz w:val="18"/>
          <w:szCs w:val="18"/>
        </w:rPr>
        <w:t xml:space="preserve"> </w:t>
      </w:r>
    </w:p>
    <w:p w14:paraId="7442C4D1" w14:textId="77777777" w:rsidR="000C3016" w:rsidRDefault="000C3016" w:rsidP="000C3016"/>
    <w:p w14:paraId="7F6B7355" w14:textId="77777777" w:rsidR="000C3016" w:rsidRDefault="000C3016">
      <w:pPr>
        <w:spacing w:after="160"/>
        <w:rPr>
          <w:rFonts w:asciiTheme="majorHAnsi" w:eastAsiaTheme="majorEastAsia" w:hAnsiTheme="majorHAnsi" w:cstheme="majorBidi"/>
          <w:b/>
          <w:color w:val="2F5496" w:themeColor="accent1" w:themeShade="BF"/>
          <w:sz w:val="28"/>
          <w:szCs w:val="24"/>
        </w:rPr>
      </w:pPr>
      <w:r>
        <w:br w:type="page"/>
      </w:r>
    </w:p>
    <w:p w14:paraId="6A0285A6" w14:textId="7A6B3F61" w:rsidR="00182AC2" w:rsidRDefault="00182AC2" w:rsidP="00E93E7B">
      <w:pPr>
        <w:pStyle w:val="Titre3"/>
      </w:pPr>
      <w:r>
        <w:lastRenderedPageBreak/>
        <w:t>Voyage au pays des bibliothèques</w:t>
      </w:r>
      <w:r w:rsidR="00E93E7B">
        <w:t xml:space="preserve">. </w:t>
      </w:r>
      <w:r w:rsidR="00E93E7B" w:rsidRPr="00E93E7B">
        <w:t>Lire aujourd'hui, lire demain</w:t>
      </w:r>
      <w:r w:rsidR="00E93E7B">
        <w:t xml:space="preserve"> (2018)</w:t>
      </w:r>
    </w:p>
    <w:p w14:paraId="16EA7357" w14:textId="4977AE27" w:rsidR="009E771F" w:rsidRDefault="00182AC2" w:rsidP="00E93E7B">
      <w:r>
        <w:rPr>
          <w:noProof/>
        </w:rPr>
        <w:drawing>
          <wp:anchor distT="0" distB="0" distL="114300" distR="114300" simplePos="0" relativeHeight="251673600" behindDoc="0" locked="0" layoutInCell="1" allowOverlap="1" wp14:anchorId="3FD79E6F" wp14:editId="2A89EA18">
            <wp:simplePos x="0" y="0"/>
            <wp:positionH relativeFrom="margin">
              <wp:align>left</wp:align>
            </wp:positionH>
            <wp:positionV relativeFrom="paragraph">
              <wp:posOffset>22860</wp:posOffset>
            </wp:positionV>
            <wp:extent cx="1000125" cy="1417955"/>
            <wp:effectExtent l="19050" t="19050" r="28575" b="10795"/>
            <wp:wrapSquare wrapText="bothSides"/>
            <wp:docPr id="9" name="Image 9"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diagramme&#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0125" cy="141795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hyperlink r:id="rId46" w:history="1">
        <w:r w:rsidR="00C847EC">
          <w:rPr>
            <w:rStyle w:val="Lienhypertexte"/>
          </w:rPr>
          <w:t>Culture.gouv.fr: Voyage-au-pays-des-</w:t>
        </w:r>
        <w:proofErr w:type="spellStart"/>
        <w:r w:rsidR="00C847EC">
          <w:rPr>
            <w:rStyle w:val="Lienhypertexte"/>
          </w:rPr>
          <w:t>bibliotheques</w:t>
        </w:r>
        <w:proofErr w:type="spellEnd"/>
        <w:r w:rsidR="00C847EC">
          <w:rPr>
            <w:rStyle w:val="Lienhypertexte"/>
          </w:rPr>
          <w:t>.-Lire-</w:t>
        </w:r>
        <w:proofErr w:type="spellStart"/>
        <w:r w:rsidR="00C847EC">
          <w:rPr>
            <w:rStyle w:val="Lienhypertexte"/>
          </w:rPr>
          <w:t>aujourd</w:t>
        </w:r>
        <w:proofErr w:type="spellEnd"/>
        <w:r w:rsidR="00C847EC">
          <w:rPr>
            <w:rStyle w:val="Lienhypertexte"/>
          </w:rPr>
          <w:t>-hui-lire-demain</w:t>
        </w:r>
      </w:hyperlink>
      <w:r w:rsidR="009E771F">
        <w:t xml:space="preserve"> </w:t>
      </w:r>
    </w:p>
    <w:p w14:paraId="17A4A32C" w14:textId="22149AAA" w:rsidR="009E771F" w:rsidRDefault="009E771F" w:rsidP="00364DD5">
      <w:pPr>
        <w:jc w:val="both"/>
      </w:pPr>
    </w:p>
    <w:p w14:paraId="6A6E47D8" w14:textId="18FE8292" w:rsidR="00E93E7B" w:rsidRDefault="00E93E7B" w:rsidP="00E93E7B">
      <w:r>
        <w:t>Erik Orsenna et Noël Corbin ont sillonné la France de septembre à décembre 2017, afin de recueillir les attentes des parties prenantes (élus, professionnels des bibliothèques et usagers) et de mesurer le dynamisme des bibliothèques, en ville comme dans les territoires ruraux.</w:t>
      </w:r>
    </w:p>
    <w:p w14:paraId="29744139" w14:textId="77777777" w:rsidR="00E93E7B" w:rsidRDefault="00E93E7B" w:rsidP="00EC7307"/>
    <w:p w14:paraId="06BC2CB6" w14:textId="77777777" w:rsidR="00564FCC" w:rsidRDefault="00564FCC" w:rsidP="00E93E7B">
      <w:pPr>
        <w:pStyle w:val="Titre3"/>
      </w:pPr>
    </w:p>
    <w:p w14:paraId="0B7E30C5" w14:textId="2BCA30BA" w:rsidR="009E771F" w:rsidRDefault="009E771F" w:rsidP="00E93E7B">
      <w:pPr>
        <w:pStyle w:val="Titre3"/>
      </w:pPr>
      <w:r>
        <w:t xml:space="preserve">Les </w:t>
      </w:r>
      <w:proofErr w:type="spellStart"/>
      <w:r>
        <w:t>non-usagers</w:t>
      </w:r>
      <w:proofErr w:type="spellEnd"/>
      <w:r>
        <w:t xml:space="preserve"> des bibliothèques : enquête quantitative</w:t>
      </w:r>
      <w:r w:rsidR="00E93E7B">
        <w:t xml:space="preserve"> (2018)</w:t>
      </w:r>
    </w:p>
    <w:p w14:paraId="75E54E59" w14:textId="3680439E" w:rsidR="009E771F" w:rsidRDefault="00DF7D14" w:rsidP="00364DD5">
      <w:pPr>
        <w:jc w:val="both"/>
      </w:pPr>
      <w:hyperlink r:id="rId47" w:history="1">
        <w:r w:rsidR="00C847EC">
          <w:rPr>
            <w:rStyle w:val="Lienhypertexte"/>
          </w:rPr>
          <w:t>Culture.gouv.fr: Les-non-usagers-des-</w:t>
        </w:r>
        <w:proofErr w:type="spellStart"/>
        <w:r w:rsidR="00C847EC">
          <w:rPr>
            <w:rStyle w:val="Lienhypertexte"/>
          </w:rPr>
          <w:t>bibliotheques</w:t>
        </w:r>
        <w:proofErr w:type="spellEnd"/>
        <w:r w:rsidR="00C847EC">
          <w:rPr>
            <w:rStyle w:val="Lienhypertexte"/>
          </w:rPr>
          <w:t>-</w:t>
        </w:r>
        <w:proofErr w:type="spellStart"/>
        <w:r w:rsidR="00C847EC">
          <w:rPr>
            <w:rStyle w:val="Lienhypertexte"/>
          </w:rPr>
          <w:t>Etude</w:t>
        </w:r>
        <w:proofErr w:type="spellEnd"/>
        <w:r w:rsidR="00C847EC">
          <w:rPr>
            <w:rStyle w:val="Lienhypertexte"/>
          </w:rPr>
          <w:t>-quantitative</w:t>
        </w:r>
      </w:hyperlink>
      <w:r w:rsidR="009E771F">
        <w:t xml:space="preserve"> </w:t>
      </w:r>
    </w:p>
    <w:p w14:paraId="2025C091" w14:textId="635950D7" w:rsidR="009E771F" w:rsidRDefault="009E771F" w:rsidP="00364DD5">
      <w:pPr>
        <w:jc w:val="both"/>
      </w:pPr>
    </w:p>
    <w:p w14:paraId="522F893C" w14:textId="27F29F9D" w:rsidR="00110D6E" w:rsidRDefault="00E93E7B" w:rsidP="00E93E7B">
      <w:pPr>
        <w:pStyle w:val="Titre3"/>
        <w:rPr>
          <w:rStyle w:val="ezstring-field"/>
        </w:rPr>
      </w:pPr>
      <w:r>
        <w:rPr>
          <w:rStyle w:val="ezstring-field"/>
        </w:rPr>
        <w:t>L</w:t>
      </w:r>
      <w:r w:rsidR="00110D6E">
        <w:rPr>
          <w:rStyle w:val="ezstring-field"/>
        </w:rPr>
        <w:t xml:space="preserve">’adaptation et l’extension des horaires d’ouverture des bibliothèques publiques de </w:t>
      </w:r>
      <w:r>
        <w:rPr>
          <w:rStyle w:val="ezstring-field"/>
        </w:rPr>
        <w:t>France (2015)</w:t>
      </w:r>
    </w:p>
    <w:p w14:paraId="3891D293" w14:textId="4A685677" w:rsidR="00110D6E" w:rsidRDefault="00DF7D14" w:rsidP="00364DD5">
      <w:pPr>
        <w:jc w:val="both"/>
      </w:pPr>
      <w:hyperlink r:id="rId48" w:history="1">
        <w:r w:rsidR="00C847EC">
          <w:rPr>
            <w:rStyle w:val="Lienhypertexte"/>
          </w:rPr>
          <w:t>Culture.gouv.fr : Remise-du-rapport-de-Sylvie-Robert-sur-l-adaptation-et-l-extension-des-horaires-d-ouverture-des-bibliotheques-publiques-de-France</w:t>
        </w:r>
      </w:hyperlink>
      <w:r w:rsidR="00110D6E">
        <w:t xml:space="preserve"> </w:t>
      </w:r>
    </w:p>
    <w:p w14:paraId="1FA15E51" w14:textId="0CAC1448" w:rsidR="00BE4F0B" w:rsidRDefault="00BE4F0B" w:rsidP="00364DD5">
      <w:pPr>
        <w:jc w:val="both"/>
      </w:pPr>
    </w:p>
    <w:p w14:paraId="363586FF" w14:textId="503BAFAC" w:rsidR="00F37707" w:rsidRDefault="00BE4F0B" w:rsidP="00EC7307">
      <w:pPr>
        <w:jc w:val="both"/>
        <w:rPr>
          <w:rFonts w:asciiTheme="majorHAnsi" w:eastAsiaTheme="majorEastAsia" w:hAnsiTheme="majorHAnsi" w:cstheme="majorBidi"/>
          <w:color w:val="2F5496" w:themeColor="accent1" w:themeShade="BF"/>
          <w:sz w:val="40"/>
          <w:szCs w:val="32"/>
        </w:rPr>
      </w:pPr>
      <w:r>
        <w:t xml:space="preserve"> </w:t>
      </w:r>
    </w:p>
    <w:p w14:paraId="541EC6C1" w14:textId="77777777" w:rsidR="00EC7307" w:rsidRDefault="00EC7307">
      <w:pPr>
        <w:spacing w:after="160"/>
        <w:rPr>
          <w:rFonts w:asciiTheme="majorHAnsi" w:eastAsiaTheme="majorEastAsia" w:hAnsiTheme="majorHAnsi" w:cstheme="majorBidi"/>
          <w:color w:val="2F5496" w:themeColor="accent1" w:themeShade="BF"/>
          <w:sz w:val="40"/>
          <w:szCs w:val="32"/>
        </w:rPr>
      </w:pPr>
      <w:r>
        <w:br w:type="page"/>
      </w:r>
    </w:p>
    <w:p w14:paraId="2A5FD21A" w14:textId="1CCF3486" w:rsidR="00182AC2" w:rsidRPr="00364DD5" w:rsidRDefault="00182AC2" w:rsidP="00364DD5">
      <w:pPr>
        <w:pStyle w:val="Titre1"/>
      </w:pPr>
      <w:r w:rsidRPr="00364DD5">
        <w:lastRenderedPageBreak/>
        <w:t xml:space="preserve">Lois </w:t>
      </w:r>
      <w:r w:rsidR="000C3016">
        <w:t>en bibliothèques</w:t>
      </w:r>
    </w:p>
    <w:p w14:paraId="44A37B75" w14:textId="37085D86" w:rsidR="008769C5" w:rsidRPr="008769C5" w:rsidRDefault="008769C5" w:rsidP="000C3016">
      <w:pPr>
        <w:pStyle w:val="Titre3"/>
        <w:rPr>
          <w:rFonts w:eastAsia="Times New Roman"/>
          <w:lang w:eastAsia="fr-FR"/>
        </w:rPr>
      </w:pPr>
      <w:r w:rsidRPr="008769C5">
        <w:rPr>
          <w:rFonts w:eastAsia="Times New Roman"/>
          <w:lang w:eastAsia="fr-FR"/>
        </w:rPr>
        <w:t xml:space="preserve">Loi du 21 décembre 2021 relative aux bibliothèques et au développement de la lecture publique </w:t>
      </w:r>
      <w:r>
        <w:rPr>
          <w:rFonts w:eastAsia="Times New Roman"/>
          <w:lang w:eastAsia="fr-FR"/>
        </w:rPr>
        <w:t>(dite Loi Robert)</w:t>
      </w:r>
    </w:p>
    <w:p w14:paraId="19060AD3" w14:textId="77777777" w:rsidR="008769C5" w:rsidRDefault="008769C5" w:rsidP="00364DD5">
      <w:pPr>
        <w:jc w:val="both"/>
        <w:rPr>
          <w:rStyle w:val="field"/>
        </w:rPr>
      </w:pPr>
      <w:r>
        <w:rPr>
          <w:rStyle w:val="field"/>
        </w:rPr>
        <w:t>La loi donne un cadre législatif précis aux bibliothèques municipales et départementales dans le code du patrimoine. Elle conforte leur rôle et leurs missions et le développement de la lecture publique.</w:t>
      </w:r>
    </w:p>
    <w:p w14:paraId="1E35A3EF" w14:textId="26964C6D" w:rsidR="00667A68" w:rsidRDefault="008769C5" w:rsidP="00364DD5">
      <w:pPr>
        <w:jc w:val="both"/>
      </w:pPr>
      <w:r w:rsidRPr="00F37707">
        <w:t>Pour lire le texte de loi :</w:t>
      </w:r>
      <w:r>
        <w:t xml:space="preserve"> </w:t>
      </w:r>
      <w:hyperlink r:id="rId49" w:history="1">
        <w:r w:rsidR="00EC7307">
          <w:rPr>
            <w:rStyle w:val="Lienhypertexte"/>
          </w:rPr>
          <w:t>Légifrance</w:t>
        </w:r>
      </w:hyperlink>
      <w:r>
        <w:t xml:space="preserve"> </w:t>
      </w:r>
    </w:p>
    <w:p w14:paraId="466B75A5" w14:textId="23992B0A" w:rsidR="00667A68" w:rsidRDefault="00667A68" w:rsidP="00364DD5">
      <w:pPr>
        <w:jc w:val="both"/>
      </w:pPr>
      <w:r>
        <w:t xml:space="preserve">Pour une analyse juridique : </w:t>
      </w:r>
      <w:hyperlink r:id="rId50" w:history="1">
        <w:r w:rsidR="00EC7307">
          <w:rPr>
            <w:rStyle w:val="Lienhypertexte"/>
          </w:rPr>
          <w:t>La Gazette des communes</w:t>
        </w:r>
      </w:hyperlink>
      <w:r>
        <w:t xml:space="preserve"> </w:t>
      </w:r>
    </w:p>
    <w:p w14:paraId="084C7DD3" w14:textId="2ECC79AA" w:rsidR="008769C5" w:rsidRDefault="008769C5" w:rsidP="00F37707">
      <w:r>
        <w:t>Pour un décryptage</w:t>
      </w:r>
      <w:r w:rsidR="00F37707">
        <w:t xml:space="preserve"> et savoir comment utiliser cette loi : </w:t>
      </w:r>
      <w:hyperlink r:id="rId51" w:history="1">
        <w:r w:rsidR="00C847EC">
          <w:rPr>
            <w:rStyle w:val="Lienhypertexte"/>
          </w:rPr>
          <w:t>ABF mode d'emploi Loi Robert</w:t>
        </w:r>
      </w:hyperlink>
      <w:r w:rsidR="00F37707">
        <w:t xml:space="preserve"> </w:t>
      </w:r>
    </w:p>
    <w:p w14:paraId="21758927" w14:textId="77777777" w:rsidR="00F37707" w:rsidRDefault="00F37707" w:rsidP="00F37707"/>
    <w:p w14:paraId="5D7D9D93" w14:textId="6F814261" w:rsidR="003F0C55" w:rsidRPr="003F0C55" w:rsidRDefault="003F0C55" w:rsidP="00F37707">
      <w:pPr>
        <w:jc w:val="center"/>
      </w:pPr>
      <w:r>
        <w:rPr>
          <w:noProof/>
        </w:rPr>
        <w:drawing>
          <wp:inline distT="0" distB="0" distL="0" distR="0" wp14:anchorId="713095E9" wp14:editId="34EF1292">
            <wp:extent cx="3341108" cy="4724400"/>
            <wp:effectExtent l="0" t="0" r="0" b="0"/>
            <wp:docPr id="2" name="Image 2" descr="Une image contenant calend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lendrier&#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80895" cy="4780660"/>
                    </a:xfrm>
                    <a:prstGeom prst="rect">
                      <a:avLst/>
                    </a:prstGeom>
                    <a:noFill/>
                    <a:ln>
                      <a:noFill/>
                    </a:ln>
                  </pic:spPr>
                </pic:pic>
              </a:graphicData>
            </a:graphic>
          </wp:inline>
        </w:drawing>
      </w:r>
    </w:p>
    <w:p w14:paraId="7B535E4D" w14:textId="58AC14A0" w:rsidR="003F0C55" w:rsidRDefault="003F0C55" w:rsidP="00364DD5">
      <w:pPr>
        <w:jc w:val="both"/>
      </w:pPr>
    </w:p>
    <w:p w14:paraId="49060918" w14:textId="3D6BAAE9" w:rsidR="00667A68" w:rsidRDefault="00667A68" w:rsidP="00564FCC">
      <w:pPr>
        <w:spacing w:after="120"/>
        <w:jc w:val="both"/>
      </w:pPr>
      <w:r w:rsidRPr="00F37707">
        <w:t>Tous les articles modifient le Code du patrimoine (CP), sauf deux qui modifient le Code général</w:t>
      </w:r>
      <w:r>
        <w:t xml:space="preserve"> </w:t>
      </w:r>
      <w:r w:rsidRPr="00F37707">
        <w:t>des collectivités territoriales (CGCT) et le Code général de la propriété des personnes</w:t>
      </w:r>
      <w:r>
        <w:t xml:space="preserve"> </w:t>
      </w:r>
      <w:r w:rsidRPr="00F37707">
        <w:t>publiques (CG3P)</w:t>
      </w:r>
      <w:r>
        <w:t xml:space="preserve"> : </w:t>
      </w:r>
    </w:p>
    <w:p w14:paraId="1B8B6FFF" w14:textId="12B0D12A" w:rsidR="00667A68" w:rsidRPr="00667A68" w:rsidRDefault="00667A68" w:rsidP="00564FCC">
      <w:pPr>
        <w:spacing w:after="120"/>
      </w:pPr>
      <w:r w:rsidRPr="00667A68">
        <w:t xml:space="preserve">Code du patrimoine : </w:t>
      </w:r>
      <w:hyperlink r:id="rId53" w:anchor="LEGISCTA000006129162" w:history="1">
        <w:r w:rsidR="006A6912">
          <w:rPr>
            <w:rStyle w:val="print-title-summary"/>
            <w:color w:val="0000FF"/>
            <w:u w:val="single"/>
          </w:rPr>
          <w:t>LIVRE III : BIBLIOTHÈQUES (Articles L310-1 A à L330-2)</w:t>
        </w:r>
      </w:hyperlink>
      <w:r w:rsidR="006A6912">
        <w:t xml:space="preserve"> </w:t>
      </w:r>
    </w:p>
    <w:p w14:paraId="38A1EAAE" w14:textId="4D669E4D" w:rsidR="00667A68" w:rsidRDefault="007F2386" w:rsidP="00564FCC">
      <w:pPr>
        <w:spacing w:after="120"/>
        <w:jc w:val="both"/>
      </w:pPr>
      <w:r>
        <w:t>Code général des collectivités territoriales</w:t>
      </w:r>
      <w:r w:rsidR="00667A68">
        <w:t xml:space="preserve"> : </w:t>
      </w:r>
      <w:hyperlink r:id="rId54" w:anchor="LEGISCTA000006180947" w:history="1">
        <w:r w:rsidR="00667A68">
          <w:rPr>
            <w:rStyle w:val="print-title-summary"/>
            <w:color w:val="0000FF"/>
            <w:u w:val="single"/>
          </w:rPr>
          <w:t>Section 2 : Dispositions particulières à certains transferts (Articles L1614-8 à L1614-11)</w:t>
        </w:r>
      </w:hyperlink>
      <w:r w:rsidR="00667A68">
        <w:t xml:space="preserve"> </w:t>
      </w:r>
    </w:p>
    <w:p w14:paraId="2DCE323A" w14:textId="1F1D1DA6" w:rsidR="007F2386" w:rsidRDefault="006A6912" w:rsidP="006A6912">
      <w:r>
        <w:t xml:space="preserve">Code général de la propriété des personnes publiques : </w:t>
      </w:r>
      <w:hyperlink r:id="rId55" w:anchor="LEGISCTA000006192197" w:history="1">
        <w:r>
          <w:rPr>
            <w:rStyle w:val="print-title-summary"/>
            <w:color w:val="0000FF"/>
            <w:u w:val="single"/>
          </w:rPr>
          <w:t>Sous-section 2 : Dispositions applicables aux collectivités territoriales, à leurs groupements et à leurs établissements publics. (Articles L3212-3 à L3212-4)</w:t>
        </w:r>
      </w:hyperlink>
      <w:r>
        <w:t xml:space="preserve"> </w:t>
      </w:r>
    </w:p>
    <w:p w14:paraId="70B0B006" w14:textId="0510B11C" w:rsidR="001171C3" w:rsidRDefault="001171C3" w:rsidP="000C3016">
      <w:pPr>
        <w:pStyle w:val="Titre3"/>
      </w:pPr>
      <w:r w:rsidRPr="001171C3">
        <w:lastRenderedPageBreak/>
        <w:t>L</w:t>
      </w:r>
      <w:r w:rsidR="00140426">
        <w:t>oi</w:t>
      </w:r>
      <w:r w:rsidRPr="001171C3">
        <w:t xml:space="preserve"> n° 2003-517 du 18 juin 2003 relative à la rémunération</w:t>
      </w:r>
      <w:r>
        <w:t xml:space="preserve"> au titre du prêt en bibliothèque et renforçant la protection sociale des auteurs </w:t>
      </w:r>
    </w:p>
    <w:p w14:paraId="0B93FCC5" w14:textId="5F5DC08B" w:rsidR="000C3016" w:rsidRPr="000C3016" w:rsidRDefault="000C3016" w:rsidP="000C3016">
      <w:r>
        <w:t xml:space="preserve">Droit de prêt en bibliothèques : </w:t>
      </w:r>
      <w:hyperlink r:id="rId56" w:history="1">
        <w:r w:rsidR="00564FCC">
          <w:rPr>
            <w:rStyle w:val="Lienhypertexte"/>
          </w:rPr>
          <w:t>Légifrance</w:t>
        </w:r>
      </w:hyperlink>
      <w:r>
        <w:t xml:space="preserve"> </w:t>
      </w:r>
    </w:p>
    <w:p w14:paraId="08909A01" w14:textId="32BA9666" w:rsidR="00BE4F0B" w:rsidRPr="00140426" w:rsidRDefault="00DF7D14" w:rsidP="00364DD5">
      <w:pPr>
        <w:jc w:val="both"/>
        <w:rPr>
          <w:rStyle w:val="Lienhypertexte"/>
          <w:b/>
          <w:bCs/>
          <w:color w:val="auto"/>
        </w:rPr>
      </w:pPr>
      <w:hyperlink r:id="rId57" w:tooltip="Vade-mecum achat public de livres 2018" w:history="1">
        <w:r>
          <w:rPr>
            <w:rStyle w:val="Lienhypertexte"/>
            <w:b/>
            <w:bCs/>
            <w:color w:val="auto"/>
          </w:rPr>
          <w:t>Vade-mecum achat public de livres 2023</w:t>
        </w:r>
      </w:hyperlink>
    </w:p>
    <w:p w14:paraId="79F61BEA" w14:textId="7199D604" w:rsidR="001171C3" w:rsidRDefault="001171C3" w:rsidP="00364DD5">
      <w:pPr>
        <w:jc w:val="both"/>
        <w:rPr>
          <w:rStyle w:val="Lienhypertexte"/>
          <w:b/>
          <w:bCs/>
        </w:rPr>
      </w:pPr>
    </w:p>
    <w:p w14:paraId="139C979B" w14:textId="0633C46E" w:rsidR="007F2386" w:rsidRDefault="00D53412" w:rsidP="000C3016">
      <w:pPr>
        <w:pStyle w:val="Titre3"/>
      </w:pPr>
      <w:r>
        <w:t>S</w:t>
      </w:r>
      <w:r w:rsidR="007F2386">
        <w:t xml:space="preserve">tatut des personnels : </w:t>
      </w:r>
    </w:p>
    <w:p w14:paraId="011D27E7" w14:textId="56906E3B" w:rsidR="000937C5" w:rsidRPr="000937C5" w:rsidRDefault="000937C5" w:rsidP="000937C5">
      <w:pPr>
        <w:rPr>
          <w:lang w:eastAsia="fr-FR"/>
        </w:rPr>
      </w:pPr>
      <w:r w:rsidRPr="000937C5">
        <w:rPr>
          <w:lang w:eastAsia="fr-FR"/>
        </w:rPr>
        <w:t xml:space="preserve">Loi n° 83-634 du 13 juillet 1983 portant droits et obligations des fonctionnaires. Loi dite loi Le </w:t>
      </w:r>
      <w:proofErr w:type="spellStart"/>
      <w:r w:rsidRPr="000937C5">
        <w:rPr>
          <w:lang w:eastAsia="fr-FR"/>
        </w:rPr>
        <w:t>Pors</w:t>
      </w:r>
      <w:proofErr w:type="spellEnd"/>
      <w:r w:rsidRPr="000937C5">
        <w:rPr>
          <w:lang w:eastAsia="fr-FR"/>
        </w:rPr>
        <w:t>.</w:t>
      </w:r>
      <w:r>
        <w:rPr>
          <w:lang w:eastAsia="fr-FR"/>
        </w:rPr>
        <w:t xml:space="preserve"> </w:t>
      </w:r>
    </w:p>
    <w:p w14:paraId="704F5863" w14:textId="0426118C" w:rsidR="000937C5" w:rsidRDefault="00DF7D14" w:rsidP="00364DD5">
      <w:pPr>
        <w:jc w:val="both"/>
      </w:pPr>
      <w:hyperlink r:id="rId58" w:history="1">
        <w:r w:rsidR="00564FCC">
          <w:rPr>
            <w:rStyle w:val="Lienhypertexte"/>
          </w:rPr>
          <w:t>Légifrance</w:t>
        </w:r>
      </w:hyperlink>
      <w:r w:rsidR="000937C5">
        <w:t xml:space="preserve"> </w:t>
      </w:r>
    </w:p>
    <w:p w14:paraId="7D9A5793" w14:textId="77777777" w:rsidR="000937C5" w:rsidRPr="00140426" w:rsidRDefault="000937C5" w:rsidP="00364DD5">
      <w:pPr>
        <w:jc w:val="both"/>
        <w:rPr>
          <w:sz w:val="16"/>
          <w:szCs w:val="16"/>
        </w:rPr>
      </w:pPr>
    </w:p>
    <w:p w14:paraId="535D5035" w14:textId="218B9853" w:rsidR="000937C5" w:rsidRDefault="000937C5" w:rsidP="000937C5">
      <w:pPr>
        <w:rPr>
          <w:lang w:eastAsia="fr-FR"/>
        </w:rPr>
      </w:pPr>
      <w:r w:rsidRPr="000937C5">
        <w:rPr>
          <w:lang w:eastAsia="fr-FR"/>
        </w:rPr>
        <w:t>Loi n° 84-53 du 26 janvier 1984 portant dispositions statutaires relatives à la fonction publique territoriale</w:t>
      </w:r>
    </w:p>
    <w:p w14:paraId="035F722F" w14:textId="6CFC501D" w:rsidR="000937C5" w:rsidRPr="000937C5" w:rsidRDefault="00DF7D14" w:rsidP="000937C5">
      <w:pPr>
        <w:rPr>
          <w:lang w:eastAsia="fr-FR"/>
        </w:rPr>
      </w:pPr>
      <w:hyperlink r:id="rId59" w:history="1">
        <w:r w:rsidR="00564FCC">
          <w:rPr>
            <w:rStyle w:val="Lienhypertexte"/>
            <w:lang w:eastAsia="fr-FR"/>
          </w:rPr>
          <w:t>Légifrance</w:t>
        </w:r>
      </w:hyperlink>
      <w:r w:rsidR="00D53412">
        <w:rPr>
          <w:lang w:eastAsia="fr-FR"/>
        </w:rPr>
        <w:t xml:space="preserve"> </w:t>
      </w:r>
    </w:p>
    <w:p w14:paraId="037A89EC" w14:textId="77777777" w:rsidR="007C4CEA" w:rsidRDefault="007C4CEA" w:rsidP="00364DD5">
      <w:pPr>
        <w:jc w:val="both"/>
      </w:pPr>
    </w:p>
    <w:p w14:paraId="36491202" w14:textId="77777777" w:rsidR="00176FE3" w:rsidRPr="00176FE3" w:rsidRDefault="00176FE3" w:rsidP="00364DD5">
      <w:pPr>
        <w:jc w:val="both"/>
        <w:rPr>
          <w:rFonts w:cs="Arial"/>
        </w:rPr>
      </w:pPr>
    </w:p>
    <w:sectPr w:rsidR="00176FE3" w:rsidRPr="00176FE3" w:rsidSect="00140426">
      <w:footerReference w:type="default" r:id="rId6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ADAB4" w14:textId="77777777" w:rsidR="00140426" w:rsidRDefault="00140426" w:rsidP="00140426">
      <w:pPr>
        <w:spacing w:after="0" w:line="240" w:lineRule="auto"/>
      </w:pPr>
      <w:r>
        <w:separator/>
      </w:r>
    </w:p>
  </w:endnote>
  <w:endnote w:type="continuationSeparator" w:id="0">
    <w:p w14:paraId="035624DF" w14:textId="77777777" w:rsidR="00140426" w:rsidRDefault="00140426" w:rsidP="00140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kkurat-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004658"/>
      <w:docPartObj>
        <w:docPartGallery w:val="Page Numbers (Bottom of Page)"/>
        <w:docPartUnique/>
      </w:docPartObj>
    </w:sdtPr>
    <w:sdtEndPr/>
    <w:sdtContent>
      <w:p w14:paraId="4D436361" w14:textId="4AEB4BFD" w:rsidR="00140426" w:rsidRDefault="00140426">
        <w:pPr>
          <w:pStyle w:val="Pieddepage"/>
          <w:jc w:val="right"/>
        </w:pPr>
        <w:r>
          <w:fldChar w:fldCharType="begin"/>
        </w:r>
        <w:r>
          <w:instrText>PAGE   \* MERGEFORMAT</w:instrText>
        </w:r>
        <w:r>
          <w:fldChar w:fldCharType="separate"/>
        </w:r>
        <w:r>
          <w:t>2</w:t>
        </w:r>
        <w:r>
          <w:fldChar w:fldCharType="end"/>
        </w:r>
      </w:p>
    </w:sdtContent>
  </w:sdt>
  <w:p w14:paraId="07628197" w14:textId="77777777" w:rsidR="00140426" w:rsidRDefault="0014042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03ECB" w14:textId="77777777" w:rsidR="00140426" w:rsidRDefault="00140426" w:rsidP="00140426">
      <w:pPr>
        <w:spacing w:after="0" w:line="240" w:lineRule="auto"/>
      </w:pPr>
      <w:r>
        <w:separator/>
      </w:r>
    </w:p>
  </w:footnote>
  <w:footnote w:type="continuationSeparator" w:id="0">
    <w:p w14:paraId="271780FF" w14:textId="77777777" w:rsidR="00140426" w:rsidRDefault="00140426" w:rsidP="001404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3B5"/>
    <w:rsid w:val="00036039"/>
    <w:rsid w:val="00050C38"/>
    <w:rsid w:val="000937C5"/>
    <w:rsid w:val="00095164"/>
    <w:rsid w:val="000C3016"/>
    <w:rsid w:val="00110D6E"/>
    <w:rsid w:val="001124D7"/>
    <w:rsid w:val="001171C3"/>
    <w:rsid w:val="00140426"/>
    <w:rsid w:val="00176FE3"/>
    <w:rsid w:val="00182AC2"/>
    <w:rsid w:val="002C7E31"/>
    <w:rsid w:val="002F2E7E"/>
    <w:rsid w:val="00351451"/>
    <w:rsid w:val="00364617"/>
    <w:rsid w:val="00364DD5"/>
    <w:rsid w:val="003F0C55"/>
    <w:rsid w:val="003F199B"/>
    <w:rsid w:val="004645F4"/>
    <w:rsid w:val="00483D60"/>
    <w:rsid w:val="004D4E43"/>
    <w:rsid w:val="004D605B"/>
    <w:rsid w:val="0050297E"/>
    <w:rsid w:val="0056276F"/>
    <w:rsid w:val="00564FCC"/>
    <w:rsid w:val="00566F71"/>
    <w:rsid w:val="005A2127"/>
    <w:rsid w:val="005D3B1B"/>
    <w:rsid w:val="00614A55"/>
    <w:rsid w:val="00667A68"/>
    <w:rsid w:val="006A6912"/>
    <w:rsid w:val="006E671C"/>
    <w:rsid w:val="00745B5E"/>
    <w:rsid w:val="007C4CEA"/>
    <w:rsid w:val="007F2386"/>
    <w:rsid w:val="008769C5"/>
    <w:rsid w:val="00970121"/>
    <w:rsid w:val="009D3A71"/>
    <w:rsid w:val="009E771F"/>
    <w:rsid w:val="009F20A1"/>
    <w:rsid w:val="00A305D0"/>
    <w:rsid w:val="00AC43B5"/>
    <w:rsid w:val="00AD0532"/>
    <w:rsid w:val="00AD71B0"/>
    <w:rsid w:val="00B30F63"/>
    <w:rsid w:val="00BC5708"/>
    <w:rsid w:val="00BE4F0B"/>
    <w:rsid w:val="00BE6244"/>
    <w:rsid w:val="00C847EC"/>
    <w:rsid w:val="00D16EE9"/>
    <w:rsid w:val="00D40B8E"/>
    <w:rsid w:val="00D53412"/>
    <w:rsid w:val="00DB3199"/>
    <w:rsid w:val="00DD582D"/>
    <w:rsid w:val="00DF3878"/>
    <w:rsid w:val="00DF7D14"/>
    <w:rsid w:val="00E520E5"/>
    <w:rsid w:val="00E55C63"/>
    <w:rsid w:val="00E93E7B"/>
    <w:rsid w:val="00EC7307"/>
    <w:rsid w:val="00ED53D4"/>
    <w:rsid w:val="00F24D31"/>
    <w:rsid w:val="00F37707"/>
    <w:rsid w:val="00F54C7C"/>
    <w:rsid w:val="00F63B17"/>
    <w:rsid w:val="00FE13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7CADE"/>
  <w15:chartTrackingRefBased/>
  <w15:docId w15:val="{CB8FAE2C-40F2-4BC7-8CCA-580FD40C0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DD5"/>
    <w:pPr>
      <w:spacing w:after="60"/>
    </w:pPr>
    <w:rPr>
      <w:rFonts w:ascii="Arial" w:hAnsi="Arial"/>
    </w:rPr>
  </w:style>
  <w:style w:type="paragraph" w:styleId="Titre1">
    <w:name w:val="heading 1"/>
    <w:basedOn w:val="Normal"/>
    <w:next w:val="Normal"/>
    <w:link w:val="Titre1Car"/>
    <w:uiPriority w:val="9"/>
    <w:qFormat/>
    <w:rsid w:val="00BC5708"/>
    <w:pPr>
      <w:keepNext/>
      <w:keepLines/>
      <w:spacing w:after="240" w:line="240" w:lineRule="auto"/>
      <w:jc w:val="center"/>
      <w:outlineLvl w:val="0"/>
    </w:pPr>
    <w:rPr>
      <w:rFonts w:asciiTheme="majorHAnsi" w:eastAsiaTheme="majorEastAsia" w:hAnsiTheme="majorHAnsi" w:cstheme="majorBidi"/>
      <w:color w:val="2F5496" w:themeColor="accent1" w:themeShade="BF"/>
      <w:sz w:val="40"/>
      <w:szCs w:val="32"/>
    </w:rPr>
  </w:style>
  <w:style w:type="paragraph" w:styleId="Titre2">
    <w:name w:val="heading 2"/>
    <w:basedOn w:val="Normal"/>
    <w:next w:val="Normal"/>
    <w:link w:val="Titre2Car"/>
    <w:autoRedefine/>
    <w:uiPriority w:val="9"/>
    <w:unhideWhenUsed/>
    <w:qFormat/>
    <w:rsid w:val="000C3016"/>
    <w:pPr>
      <w:keepNext/>
      <w:keepLines/>
      <w:spacing w:before="240" w:after="240"/>
      <w:contextualSpacing/>
      <w:jc w:val="center"/>
      <w:outlineLvl w:val="1"/>
    </w:pPr>
    <w:rPr>
      <w:rFonts w:asciiTheme="majorHAnsi" w:eastAsiaTheme="majorEastAsia" w:hAnsiTheme="majorHAnsi" w:cstheme="majorBidi"/>
      <w:b/>
      <w:color w:val="2F5496" w:themeColor="accent1" w:themeShade="BF"/>
      <w:sz w:val="32"/>
      <w:szCs w:val="26"/>
    </w:rPr>
  </w:style>
  <w:style w:type="paragraph" w:styleId="Titre3">
    <w:name w:val="heading 3"/>
    <w:basedOn w:val="Normal"/>
    <w:next w:val="Normal"/>
    <w:link w:val="Titre3Car"/>
    <w:uiPriority w:val="9"/>
    <w:unhideWhenUsed/>
    <w:qFormat/>
    <w:rsid w:val="00050C38"/>
    <w:pPr>
      <w:keepNext/>
      <w:keepLines/>
      <w:spacing w:before="120" w:after="120" w:line="240" w:lineRule="auto"/>
      <w:ind w:left="-284"/>
      <w:outlineLvl w:val="2"/>
    </w:pPr>
    <w:rPr>
      <w:rFonts w:asciiTheme="majorHAnsi" w:eastAsiaTheme="majorEastAsia" w:hAnsiTheme="majorHAnsi" w:cstheme="majorBidi"/>
      <w:b/>
      <w:color w:val="2F5496" w:themeColor="accent1" w:themeShade="BF"/>
      <w:sz w:val="28"/>
      <w:szCs w:val="24"/>
    </w:rPr>
  </w:style>
  <w:style w:type="paragraph" w:styleId="Titre5">
    <w:name w:val="heading 5"/>
    <w:basedOn w:val="Normal"/>
    <w:next w:val="Normal"/>
    <w:link w:val="Titre5Car"/>
    <w:uiPriority w:val="9"/>
    <w:semiHidden/>
    <w:unhideWhenUsed/>
    <w:qFormat/>
    <w:rsid w:val="00DF387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C43B5"/>
    <w:rPr>
      <w:color w:val="0563C1" w:themeColor="hyperlink"/>
      <w:u w:val="single"/>
    </w:rPr>
  </w:style>
  <w:style w:type="character" w:styleId="Mentionnonrsolue">
    <w:name w:val="Unresolved Mention"/>
    <w:basedOn w:val="Policepardfaut"/>
    <w:uiPriority w:val="99"/>
    <w:semiHidden/>
    <w:unhideWhenUsed/>
    <w:rsid w:val="00AC43B5"/>
    <w:rPr>
      <w:color w:val="605E5C"/>
      <w:shd w:val="clear" w:color="auto" w:fill="E1DFDD"/>
    </w:rPr>
  </w:style>
  <w:style w:type="character" w:customStyle="1" w:styleId="Titre1Car">
    <w:name w:val="Titre 1 Car"/>
    <w:basedOn w:val="Policepardfaut"/>
    <w:link w:val="Titre1"/>
    <w:uiPriority w:val="9"/>
    <w:rsid w:val="00BC5708"/>
    <w:rPr>
      <w:rFonts w:asciiTheme="majorHAnsi" w:eastAsiaTheme="majorEastAsia" w:hAnsiTheme="majorHAnsi" w:cstheme="majorBidi"/>
      <w:color w:val="2F5496" w:themeColor="accent1" w:themeShade="BF"/>
      <w:sz w:val="40"/>
      <w:szCs w:val="32"/>
    </w:rPr>
  </w:style>
  <w:style w:type="character" w:customStyle="1" w:styleId="Titre2Car">
    <w:name w:val="Titre 2 Car"/>
    <w:basedOn w:val="Policepardfaut"/>
    <w:link w:val="Titre2"/>
    <w:uiPriority w:val="9"/>
    <w:rsid w:val="000C3016"/>
    <w:rPr>
      <w:rFonts w:asciiTheme="majorHAnsi" w:eastAsiaTheme="majorEastAsia" w:hAnsiTheme="majorHAnsi" w:cstheme="majorBidi"/>
      <w:b/>
      <w:color w:val="2F5496" w:themeColor="accent1" w:themeShade="BF"/>
      <w:sz w:val="32"/>
      <w:szCs w:val="26"/>
    </w:rPr>
  </w:style>
  <w:style w:type="paragraph" w:customStyle="1" w:styleId="Default">
    <w:name w:val="Default"/>
    <w:rsid w:val="00351451"/>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suivivisit">
    <w:name w:val="FollowedHyperlink"/>
    <w:basedOn w:val="Policepardfaut"/>
    <w:uiPriority w:val="99"/>
    <w:semiHidden/>
    <w:unhideWhenUsed/>
    <w:rsid w:val="00483D60"/>
    <w:rPr>
      <w:color w:val="954F72" w:themeColor="followedHyperlink"/>
      <w:u w:val="single"/>
    </w:rPr>
  </w:style>
  <w:style w:type="character" w:customStyle="1" w:styleId="ezstring-field">
    <w:name w:val="ezstring-field"/>
    <w:basedOn w:val="Policepardfaut"/>
    <w:rsid w:val="00110D6E"/>
  </w:style>
  <w:style w:type="character" w:styleId="lev">
    <w:name w:val="Strong"/>
    <w:basedOn w:val="Policepardfaut"/>
    <w:uiPriority w:val="22"/>
    <w:qFormat/>
    <w:rsid w:val="00DF3878"/>
    <w:rPr>
      <w:b/>
      <w:bCs/>
    </w:rPr>
  </w:style>
  <w:style w:type="character" w:customStyle="1" w:styleId="Titre5Car">
    <w:name w:val="Titre 5 Car"/>
    <w:basedOn w:val="Policepardfaut"/>
    <w:link w:val="Titre5"/>
    <w:uiPriority w:val="9"/>
    <w:semiHidden/>
    <w:rsid w:val="00DF3878"/>
    <w:rPr>
      <w:rFonts w:asciiTheme="majorHAnsi" w:eastAsiaTheme="majorEastAsia" w:hAnsiTheme="majorHAnsi" w:cstheme="majorBidi"/>
      <w:color w:val="2F5496" w:themeColor="accent1" w:themeShade="BF"/>
    </w:rPr>
  </w:style>
  <w:style w:type="character" w:customStyle="1" w:styleId="field">
    <w:name w:val="field"/>
    <w:basedOn w:val="Policepardfaut"/>
    <w:rsid w:val="008769C5"/>
  </w:style>
  <w:style w:type="character" w:customStyle="1" w:styleId="print-title-summary">
    <w:name w:val="print-title-summary"/>
    <w:basedOn w:val="Policepardfaut"/>
    <w:rsid w:val="00667A68"/>
  </w:style>
  <w:style w:type="character" w:customStyle="1" w:styleId="Titre3Car">
    <w:name w:val="Titre 3 Car"/>
    <w:basedOn w:val="Policepardfaut"/>
    <w:link w:val="Titre3"/>
    <w:uiPriority w:val="9"/>
    <w:rsid w:val="00050C38"/>
    <w:rPr>
      <w:rFonts w:asciiTheme="majorHAnsi" w:eastAsiaTheme="majorEastAsia" w:hAnsiTheme="majorHAnsi" w:cstheme="majorBidi"/>
      <w:b/>
      <w:color w:val="2F5496" w:themeColor="accent1" w:themeShade="BF"/>
      <w:sz w:val="28"/>
      <w:szCs w:val="24"/>
    </w:rPr>
  </w:style>
  <w:style w:type="paragraph" w:styleId="En-tte">
    <w:name w:val="header"/>
    <w:basedOn w:val="Normal"/>
    <w:link w:val="En-tteCar"/>
    <w:uiPriority w:val="99"/>
    <w:unhideWhenUsed/>
    <w:rsid w:val="00140426"/>
    <w:pPr>
      <w:tabs>
        <w:tab w:val="center" w:pos="4536"/>
        <w:tab w:val="right" w:pos="9072"/>
      </w:tabs>
      <w:spacing w:after="0" w:line="240" w:lineRule="auto"/>
    </w:pPr>
  </w:style>
  <w:style w:type="character" w:customStyle="1" w:styleId="En-tteCar">
    <w:name w:val="En-tête Car"/>
    <w:basedOn w:val="Policepardfaut"/>
    <w:link w:val="En-tte"/>
    <w:uiPriority w:val="99"/>
    <w:rsid w:val="00140426"/>
    <w:rPr>
      <w:rFonts w:ascii="Arial" w:hAnsi="Arial"/>
    </w:rPr>
  </w:style>
  <w:style w:type="paragraph" w:styleId="Pieddepage">
    <w:name w:val="footer"/>
    <w:basedOn w:val="Normal"/>
    <w:link w:val="PieddepageCar"/>
    <w:uiPriority w:val="99"/>
    <w:unhideWhenUsed/>
    <w:rsid w:val="001404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0426"/>
    <w:rPr>
      <w:rFonts w:ascii="Arial" w:hAnsi="Arial"/>
    </w:rPr>
  </w:style>
  <w:style w:type="table" w:styleId="Grilledutableau">
    <w:name w:val="Table Grid"/>
    <w:basedOn w:val="TableauNormal"/>
    <w:uiPriority w:val="39"/>
    <w:rsid w:val="00B30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3801">
      <w:bodyDiv w:val="1"/>
      <w:marLeft w:val="0"/>
      <w:marRight w:val="0"/>
      <w:marTop w:val="0"/>
      <w:marBottom w:val="0"/>
      <w:divBdr>
        <w:top w:val="none" w:sz="0" w:space="0" w:color="auto"/>
        <w:left w:val="none" w:sz="0" w:space="0" w:color="auto"/>
        <w:bottom w:val="none" w:sz="0" w:space="0" w:color="auto"/>
        <w:right w:val="none" w:sz="0" w:space="0" w:color="auto"/>
      </w:divBdr>
    </w:div>
    <w:div w:id="452528966">
      <w:bodyDiv w:val="1"/>
      <w:marLeft w:val="0"/>
      <w:marRight w:val="0"/>
      <w:marTop w:val="0"/>
      <w:marBottom w:val="0"/>
      <w:divBdr>
        <w:top w:val="none" w:sz="0" w:space="0" w:color="auto"/>
        <w:left w:val="none" w:sz="0" w:space="0" w:color="auto"/>
        <w:bottom w:val="none" w:sz="0" w:space="0" w:color="auto"/>
        <w:right w:val="none" w:sz="0" w:space="0" w:color="auto"/>
      </w:divBdr>
    </w:div>
    <w:div w:id="456803164">
      <w:bodyDiv w:val="1"/>
      <w:marLeft w:val="0"/>
      <w:marRight w:val="0"/>
      <w:marTop w:val="0"/>
      <w:marBottom w:val="0"/>
      <w:divBdr>
        <w:top w:val="none" w:sz="0" w:space="0" w:color="auto"/>
        <w:left w:val="none" w:sz="0" w:space="0" w:color="auto"/>
        <w:bottom w:val="none" w:sz="0" w:space="0" w:color="auto"/>
        <w:right w:val="none" w:sz="0" w:space="0" w:color="auto"/>
      </w:divBdr>
    </w:div>
    <w:div w:id="563416275">
      <w:bodyDiv w:val="1"/>
      <w:marLeft w:val="0"/>
      <w:marRight w:val="0"/>
      <w:marTop w:val="0"/>
      <w:marBottom w:val="0"/>
      <w:divBdr>
        <w:top w:val="none" w:sz="0" w:space="0" w:color="auto"/>
        <w:left w:val="none" w:sz="0" w:space="0" w:color="auto"/>
        <w:bottom w:val="none" w:sz="0" w:space="0" w:color="auto"/>
        <w:right w:val="none" w:sz="0" w:space="0" w:color="auto"/>
      </w:divBdr>
    </w:div>
    <w:div w:id="594020866">
      <w:bodyDiv w:val="1"/>
      <w:marLeft w:val="0"/>
      <w:marRight w:val="0"/>
      <w:marTop w:val="0"/>
      <w:marBottom w:val="0"/>
      <w:divBdr>
        <w:top w:val="none" w:sz="0" w:space="0" w:color="auto"/>
        <w:left w:val="none" w:sz="0" w:space="0" w:color="auto"/>
        <w:bottom w:val="none" w:sz="0" w:space="0" w:color="auto"/>
        <w:right w:val="none" w:sz="0" w:space="0" w:color="auto"/>
      </w:divBdr>
    </w:div>
    <w:div w:id="969937713">
      <w:bodyDiv w:val="1"/>
      <w:marLeft w:val="0"/>
      <w:marRight w:val="0"/>
      <w:marTop w:val="0"/>
      <w:marBottom w:val="0"/>
      <w:divBdr>
        <w:top w:val="none" w:sz="0" w:space="0" w:color="auto"/>
        <w:left w:val="none" w:sz="0" w:space="0" w:color="auto"/>
        <w:bottom w:val="none" w:sz="0" w:space="0" w:color="auto"/>
        <w:right w:val="none" w:sz="0" w:space="0" w:color="auto"/>
      </w:divBdr>
    </w:div>
    <w:div w:id="1029601871">
      <w:bodyDiv w:val="1"/>
      <w:marLeft w:val="0"/>
      <w:marRight w:val="0"/>
      <w:marTop w:val="0"/>
      <w:marBottom w:val="0"/>
      <w:divBdr>
        <w:top w:val="none" w:sz="0" w:space="0" w:color="auto"/>
        <w:left w:val="none" w:sz="0" w:space="0" w:color="auto"/>
        <w:bottom w:val="none" w:sz="0" w:space="0" w:color="auto"/>
        <w:right w:val="none" w:sz="0" w:space="0" w:color="auto"/>
      </w:divBdr>
    </w:div>
    <w:div w:id="1060711071">
      <w:bodyDiv w:val="1"/>
      <w:marLeft w:val="0"/>
      <w:marRight w:val="0"/>
      <w:marTop w:val="0"/>
      <w:marBottom w:val="0"/>
      <w:divBdr>
        <w:top w:val="none" w:sz="0" w:space="0" w:color="auto"/>
        <w:left w:val="none" w:sz="0" w:space="0" w:color="auto"/>
        <w:bottom w:val="none" w:sz="0" w:space="0" w:color="auto"/>
        <w:right w:val="none" w:sz="0" w:space="0" w:color="auto"/>
      </w:divBdr>
    </w:div>
    <w:div w:id="1298222161">
      <w:bodyDiv w:val="1"/>
      <w:marLeft w:val="0"/>
      <w:marRight w:val="0"/>
      <w:marTop w:val="0"/>
      <w:marBottom w:val="0"/>
      <w:divBdr>
        <w:top w:val="none" w:sz="0" w:space="0" w:color="auto"/>
        <w:left w:val="none" w:sz="0" w:space="0" w:color="auto"/>
        <w:bottom w:val="none" w:sz="0" w:space="0" w:color="auto"/>
        <w:right w:val="none" w:sz="0" w:space="0" w:color="auto"/>
      </w:divBdr>
    </w:div>
    <w:div w:id="1367023471">
      <w:bodyDiv w:val="1"/>
      <w:marLeft w:val="0"/>
      <w:marRight w:val="0"/>
      <w:marTop w:val="0"/>
      <w:marBottom w:val="0"/>
      <w:divBdr>
        <w:top w:val="none" w:sz="0" w:space="0" w:color="auto"/>
        <w:left w:val="none" w:sz="0" w:space="0" w:color="auto"/>
        <w:bottom w:val="none" w:sz="0" w:space="0" w:color="auto"/>
        <w:right w:val="none" w:sz="0" w:space="0" w:color="auto"/>
      </w:divBdr>
    </w:div>
    <w:div w:id="1515069653">
      <w:bodyDiv w:val="1"/>
      <w:marLeft w:val="0"/>
      <w:marRight w:val="0"/>
      <w:marTop w:val="0"/>
      <w:marBottom w:val="0"/>
      <w:divBdr>
        <w:top w:val="none" w:sz="0" w:space="0" w:color="auto"/>
        <w:left w:val="none" w:sz="0" w:space="0" w:color="auto"/>
        <w:bottom w:val="none" w:sz="0" w:space="0" w:color="auto"/>
        <w:right w:val="none" w:sz="0" w:space="0" w:color="auto"/>
      </w:divBdr>
    </w:div>
    <w:div w:id="1684475806">
      <w:bodyDiv w:val="1"/>
      <w:marLeft w:val="0"/>
      <w:marRight w:val="0"/>
      <w:marTop w:val="0"/>
      <w:marBottom w:val="0"/>
      <w:divBdr>
        <w:top w:val="none" w:sz="0" w:space="0" w:color="auto"/>
        <w:left w:val="none" w:sz="0" w:space="0" w:color="auto"/>
        <w:bottom w:val="none" w:sz="0" w:space="0" w:color="auto"/>
        <w:right w:val="none" w:sz="0" w:space="0" w:color="auto"/>
      </w:divBdr>
    </w:div>
    <w:div w:id="1756659033">
      <w:bodyDiv w:val="1"/>
      <w:marLeft w:val="0"/>
      <w:marRight w:val="0"/>
      <w:marTop w:val="0"/>
      <w:marBottom w:val="0"/>
      <w:divBdr>
        <w:top w:val="none" w:sz="0" w:space="0" w:color="auto"/>
        <w:left w:val="none" w:sz="0" w:space="0" w:color="auto"/>
        <w:bottom w:val="none" w:sz="0" w:space="0" w:color="auto"/>
        <w:right w:val="none" w:sz="0" w:space="0" w:color="auto"/>
      </w:divBdr>
    </w:div>
    <w:div w:id="1773620332">
      <w:bodyDiv w:val="1"/>
      <w:marLeft w:val="0"/>
      <w:marRight w:val="0"/>
      <w:marTop w:val="0"/>
      <w:marBottom w:val="0"/>
      <w:divBdr>
        <w:top w:val="none" w:sz="0" w:space="0" w:color="auto"/>
        <w:left w:val="none" w:sz="0" w:space="0" w:color="auto"/>
        <w:bottom w:val="none" w:sz="0" w:space="0" w:color="auto"/>
        <w:right w:val="none" w:sz="0" w:space="0" w:color="auto"/>
      </w:divBdr>
    </w:div>
    <w:div w:id="194722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f.asso.fr/6/46/78/ABF/code-de-deontologie-des-bibliothecaires" TargetMode="External"/><Relationship Id="rId18" Type="http://schemas.openxmlformats.org/officeDocument/2006/relationships/image" Target="media/image6.png"/><Relationship Id="rId26" Type="http://schemas.openxmlformats.org/officeDocument/2006/relationships/hyperlink" Target="https://unesdoc.unesco.org/ark:/48223/pf0000127162_fre" TargetMode="External"/><Relationship Id="rId39" Type="http://schemas.openxmlformats.org/officeDocument/2006/relationships/image" Target="media/image12.png"/><Relationship Id="rId21" Type="http://schemas.openxmlformats.org/officeDocument/2006/relationships/hyperlink" Target="https://www.youtube.com/watch?v=XEEYMzITKdg" TargetMode="External"/><Relationship Id="rId34" Type="http://schemas.openxmlformats.org/officeDocument/2006/relationships/hyperlink" Target="https://bibliotheque.vendee.fr/images/Articles/5-services-pour-les-bibliotheques/1-conseil-et-accompagnement/textes-de-reference/biblios-fncc-2022-aout-guidebib.pdf" TargetMode="External"/><Relationship Id="rId42" Type="http://schemas.openxmlformats.org/officeDocument/2006/relationships/image" Target="media/image13.png"/><Relationship Id="rId47" Type="http://schemas.openxmlformats.org/officeDocument/2006/relationships/hyperlink" Target="https://www.culture.gouv.fr/Thematiques/Livre-et-lecture/Documentation/Publications/Etudes-et-rapports-Lecture-et-bibliotheques/Les-non-usagers-des-bibliotheques-Etude-quantitative" TargetMode="External"/><Relationship Id="rId50" Type="http://schemas.openxmlformats.org/officeDocument/2006/relationships/hyperlink" Target="https://www.lagazettedescommunes.com/796815/decryptage-de-la-loi-sur-les-bibliotheques-et-le-developpement-de-la-lecture-publique/?abo=1" TargetMode="External"/><Relationship Id="rId55" Type="http://schemas.openxmlformats.org/officeDocument/2006/relationships/hyperlink" Target="https://www.legifrance.gouv.fr/codes/section_lc/LEGITEXT000006070299/LEGISCTA000006192197/"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ifla.org/wp-content/uploads/2019/05/assets/faife/codesofethics/frenchcodeofethicsfull.pdf" TargetMode="External"/><Relationship Id="rId20" Type="http://schemas.openxmlformats.org/officeDocument/2006/relationships/image" Target="media/image7.jpeg"/><Relationship Id="rId29" Type="http://schemas.openxmlformats.org/officeDocument/2006/relationships/hyperlink" Target="https://www.legifrance.gouv.fr/jorf/id/JORFTEXT000044537514" TargetMode="External"/><Relationship Id="rId41" Type="http://schemas.openxmlformats.org/officeDocument/2006/relationships/hyperlink" Target="https://www.senat.fr/notice-rapport/2019/r19-581-notice.html" TargetMode="External"/><Relationship Id="rId54" Type="http://schemas.openxmlformats.org/officeDocument/2006/relationships/hyperlink" Target="https://www.legifrance.gouv.fr/codes/section_lc/LEGITEXT000006070633/LEGISCTA000006180947/"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ncc.fr/wp-content/uploads/2022/06/les_10_atouts_politiques_des_bibliotheques.pdf" TargetMode="External"/><Relationship Id="rId24" Type="http://schemas.openxmlformats.org/officeDocument/2006/relationships/hyperlink" Target="https://www.observatoire-culture.net/controverses-droits-culturels/" TargetMode="External"/><Relationship Id="rId32" Type="http://schemas.openxmlformats.org/officeDocument/2006/relationships/hyperlink" Target="https://www.ifla.org/wp-content/uploads/2019/05/assets/library-services-to-multicultural-populations/publications/multicultural-communities-fr.pdf" TargetMode="External"/><Relationship Id="rId37" Type="http://schemas.openxmlformats.org/officeDocument/2006/relationships/image" Target="media/image11.png"/><Relationship Id="rId40" Type="http://schemas.openxmlformats.org/officeDocument/2006/relationships/hyperlink" Target="https://www.education.gouv.fr/la-prise-en-compte-des-handicaps-dans-les-bibliotheques-de-l-enseignement-superieur-et-dans-les-322814" TargetMode="External"/><Relationship Id="rId45" Type="http://schemas.openxmlformats.org/officeDocument/2006/relationships/image" Target="media/image14.jpeg"/><Relationship Id="rId53" Type="http://schemas.openxmlformats.org/officeDocument/2006/relationships/hyperlink" Target="https://www.legifrance.gouv.fr/codes/section_lc/LEGITEXT000006074236/LEGISCTA000006129162/" TargetMode="External"/><Relationship Id="rId58" Type="http://schemas.openxmlformats.org/officeDocument/2006/relationships/hyperlink" Target="https://www.legifrance.gouv.fr/loda/id/JORFTEXT000000504704" TargetMode="External"/><Relationship Id="rId5" Type="http://schemas.openxmlformats.org/officeDocument/2006/relationships/footnotes" Target="footnotes.xml"/><Relationship Id="rId15" Type="http://schemas.openxmlformats.org/officeDocument/2006/relationships/hyperlink" Target="https://www.abf.asso.fr/6/46/247/ABF/manifeste-la-bibliotheque-est-une-affaire-publique" TargetMode="External"/><Relationship Id="rId23" Type="http://schemas.openxmlformats.org/officeDocument/2006/relationships/hyperlink" Target="https://droitsculturels.org/observatoire/wp-content/uploads/sites/6/2017/05/00_Affiche_rectoverso_DFR11_2014.pdf" TargetMode="External"/><Relationship Id="rId28" Type="http://schemas.openxmlformats.org/officeDocument/2006/relationships/hyperlink" Target="https://www.legifrance.gouv.fr/affichTexte.do?cidTexte=JORFTEXT000032854341&amp;categorieLien=id" TargetMode="External"/><Relationship Id="rId36" Type="http://schemas.openxmlformats.org/officeDocument/2006/relationships/hyperlink" Target="https://www.culture.gouv.fr/Espace-documentation/Publications-revues/Guide-Bibliotheques-territoriales-dispositifs-d-accompagnement-de-l-Etat-et-temoignages-d-elus" TargetMode="External"/><Relationship Id="rId49" Type="http://schemas.openxmlformats.org/officeDocument/2006/relationships/hyperlink" Target="https://www.legifrance.gouv.fr/jorf/id/JORFTEXT000044537514/" TargetMode="External"/><Relationship Id="rId57" Type="http://schemas.openxmlformats.org/officeDocument/2006/relationships/hyperlink" Target="https://www.culture.gouv.fr/Media/Medias-creation-rapide/DGMIC-Vademecum-2023-Site-MC.pdf2"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enssib.fr/bibliotheque-numerique/documents/1973-charte-du-bibliothecaire-volontaire.pdf" TargetMode="External"/><Relationship Id="rId31" Type="http://schemas.openxmlformats.org/officeDocument/2006/relationships/hyperlink" Target="http://www.abf.asso.fr/6/46/537/ABF/charte-du-droit-fondamental-des-citoyens-a-acceder-a-l-information-et-aux-savoirs-par-les-bibliotheques" TargetMode="External"/><Relationship Id="rId44" Type="http://schemas.openxmlformats.org/officeDocument/2006/relationships/hyperlink" Target="https://www.lagazettedescommunes.com/615800/a-quoi-servent-les-bibliotheques-un-rapport-livre-une-methode-devaluation/?abo=1" TargetMode="External"/><Relationship Id="rId52" Type="http://schemas.openxmlformats.org/officeDocument/2006/relationships/image" Target="media/image15.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epository.ifla.org/bitstream/123456789/2122/1/Manifeste%20IFLA-UNESCO%20sur%20les%20biblioth%C3%A8ques%20publiques.v2.pdf" TargetMode="External"/><Relationship Id="rId14" Type="http://schemas.openxmlformats.org/officeDocument/2006/relationships/image" Target="media/image5.jpeg"/><Relationship Id="rId22" Type="http://schemas.openxmlformats.org/officeDocument/2006/relationships/hyperlink" Target="https://droitsculturels.org/observatoire/wp-content/uploads/sites/6/2017/05/declaration-fr3.pdf" TargetMode="External"/><Relationship Id="rId27" Type="http://schemas.openxmlformats.org/officeDocument/2006/relationships/hyperlink" Target="https://www.legifrance.gouv.fr/loda/id/JORFTEXT000030985460/2023-04-17/" TargetMode="External"/><Relationship Id="rId30" Type="http://schemas.openxmlformats.org/officeDocument/2006/relationships/image" Target="media/image9.png"/><Relationship Id="rId35" Type="http://schemas.openxmlformats.org/officeDocument/2006/relationships/image" Target="media/image10.png"/><Relationship Id="rId43" Type="http://schemas.openxmlformats.org/officeDocument/2006/relationships/hyperlink" Target="https://www.culture.gouv.fr/Thematiques/Livre-et-lecture/Documentation/Publications/Etudes-et-rapports-Lecture-et-bibliotheques/Publication-du-rapport-comment-apprecier-les-effets-de-l-action-des-bibliotheques-publiques" TargetMode="External"/><Relationship Id="rId48" Type="http://schemas.openxmlformats.org/officeDocument/2006/relationships/hyperlink" Target="https://www.culture.gouv.fr/Thematiques/Livre-et-lecture/Actualites/Remise-du-rapport-de-Sylvie-Robert-sur-l-adaptation-et-l-extension-des-horaires-d-ouverture-des-bibliotheques-publiques-de-France" TargetMode="External"/><Relationship Id="rId56" Type="http://schemas.openxmlformats.org/officeDocument/2006/relationships/hyperlink" Target="https://www.legifrance.gouv.fr/jorf/id/JORFTEXT000000411828" TargetMode="External"/><Relationship Id="rId8" Type="http://schemas.openxmlformats.org/officeDocument/2006/relationships/image" Target="media/image2.png"/><Relationship Id="rId51" Type="http://schemas.openxmlformats.org/officeDocument/2006/relationships/hyperlink" Target="https://www.abf.asso.fr/fichiers/file/ABF/textes_reference/mode_emploi_loi_robert.pdf"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ifla.org/wp-content/uploads/2019/05/assets/faife/publications/ifla-statement-sustainable-development-fr.pdf" TargetMode="External"/><Relationship Id="rId25" Type="http://schemas.openxmlformats.org/officeDocument/2006/relationships/image" Target="media/image8.png"/><Relationship Id="rId33" Type="http://schemas.openxmlformats.org/officeDocument/2006/relationships/hyperlink" Target="https://www.enssib.fr/bibliotheque-numerique/documents/40693-manifeste-de-l-ifla-sur-la-bibliotheque-multiculturelle.pdf" TargetMode="External"/><Relationship Id="rId38" Type="http://schemas.openxmlformats.org/officeDocument/2006/relationships/hyperlink" Target="https://www.education.gouv.fr/la-place-et-le-role-des-benevoles-dans-les-bibliotheques-territoriales-340829" TargetMode="External"/><Relationship Id="rId46" Type="http://schemas.openxmlformats.org/officeDocument/2006/relationships/hyperlink" Target="https://www.culture.gouv.fr/Espace-documentation/Rapports/Voyage-au-pays-des-bibliotheques.-Lire-aujourd-hui-lire-demain" TargetMode="External"/><Relationship Id="rId59" Type="http://schemas.openxmlformats.org/officeDocument/2006/relationships/hyperlink" Target="https://www.legifrance.gouv.fr/loda/id/JORFTEXT00000032043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FC40C-BD99-4866-9A88-3ECD5F2B1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9</Pages>
  <Words>2522</Words>
  <Characters>13874</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CD44</Company>
  <LinksUpToDate>false</LinksUpToDate>
  <CharactersWithSpaces>16364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CHOUIN Sandrine</dc:creator>
  <cp:keywords/>
  <dc:description/>
  <cp:lastModifiedBy>CHOUIN Sandrine</cp:lastModifiedBy>
  <cp:revision>10</cp:revision>
  <dcterms:created xsi:type="dcterms:W3CDTF">2023-04-04T11:28:00Z</dcterms:created>
  <dcterms:modified xsi:type="dcterms:W3CDTF">2023-10-10T07:41:00Z</dcterms:modified>
</cp:coreProperties>
</file>