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F2853" w14:textId="29F61CB5" w:rsidR="007905B0" w:rsidRDefault="007905B0" w:rsidP="00E12F7C">
      <w:pPr>
        <w:rPr>
          <w:b/>
          <w:bCs/>
          <w:sz w:val="28"/>
          <w:szCs w:val="28"/>
        </w:rPr>
      </w:pPr>
      <w:r w:rsidRPr="00C244C7">
        <w:rPr>
          <w:noProof/>
          <w:sz w:val="72"/>
          <w:szCs w:val="72"/>
        </w:rPr>
        <mc:AlternateContent>
          <mc:Choice Requires="wps">
            <w:drawing>
              <wp:anchor distT="45720" distB="45720" distL="114300" distR="114300" simplePos="0" relativeHeight="251664384" behindDoc="0" locked="0" layoutInCell="1" allowOverlap="1" wp14:anchorId="3207F237" wp14:editId="7BB8EA1D">
                <wp:simplePos x="0" y="0"/>
                <wp:positionH relativeFrom="margin">
                  <wp:posOffset>4088618</wp:posOffset>
                </wp:positionH>
                <wp:positionV relativeFrom="paragraph">
                  <wp:posOffset>-360192</wp:posOffset>
                </wp:positionV>
                <wp:extent cx="2360930" cy="352425"/>
                <wp:effectExtent l="0" t="0" r="635" b="952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52425"/>
                        </a:xfrm>
                        <a:prstGeom prst="rect">
                          <a:avLst/>
                        </a:prstGeom>
                        <a:solidFill>
                          <a:srgbClr val="FFFFFF"/>
                        </a:solidFill>
                        <a:ln w="9525">
                          <a:noFill/>
                          <a:miter lim="800000"/>
                          <a:headEnd/>
                          <a:tailEnd/>
                        </a:ln>
                      </wps:spPr>
                      <wps:txbx>
                        <w:txbxContent>
                          <w:p w14:paraId="62EFFE79" w14:textId="77777777" w:rsidR="007905B0" w:rsidRPr="00C244C7" w:rsidRDefault="007905B0" w:rsidP="007905B0">
                            <w:pPr>
                              <w:jc w:val="right"/>
                              <w:rPr>
                                <w:b/>
                              </w:rPr>
                            </w:pPr>
                            <w:r>
                              <w:rPr>
                                <w:b/>
                              </w:rPr>
                              <w:t>Boîte à outils de la BDLA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207F237" id="_x0000_t202" coordsize="21600,21600" o:spt="202" path="m,l,21600r21600,l21600,xe">
                <v:stroke joinstyle="miter"/>
                <v:path gradientshapeok="t" o:connecttype="rect"/>
              </v:shapetype>
              <v:shape id="Zone de texte 2" o:spid="_x0000_s1026" type="#_x0000_t202" style="position:absolute;margin-left:321.95pt;margin-top:-28.35pt;width:185.9pt;height:27.75pt;z-index:25166438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" stroked="f">
                <v:textbox>
                  <w:txbxContent>
                    <w:p w14:paraId="62EFFE79" w14:textId="77777777" w:rsidR="007905B0" w:rsidRPr="00C244C7" w:rsidRDefault="007905B0" w:rsidP="007905B0">
                      <w:pPr>
                        <w:jc w:val="right"/>
                        <w:rPr>
                          <w:b/>
                        </w:rPr>
                      </w:pPr>
                      <w:r>
                        <w:rPr>
                          <w:b/>
                        </w:rPr>
                        <w:t>Boîte à outils de la BDLA</w:t>
                      </w:r>
                    </w:p>
                  </w:txbxContent>
                </v:textbox>
                <w10:wrap anchorx="margin"/>
              </v:shape>
            </w:pict>
          </mc:Fallback>
        </mc:AlternateContent>
      </w:r>
      <w:r>
        <w:rPr>
          <w:noProof/>
          <w:sz w:val="72"/>
          <w:szCs w:val="72"/>
        </w:rPr>
        <w:drawing>
          <wp:anchor distT="0" distB="0" distL="114300" distR="114300" simplePos="0" relativeHeight="251663360" behindDoc="0" locked="0" layoutInCell="1" allowOverlap="1" wp14:anchorId="7FD589E3" wp14:editId="7FBB2C49">
            <wp:simplePos x="0" y="0"/>
            <wp:positionH relativeFrom="column">
              <wp:posOffset>-448408</wp:posOffset>
            </wp:positionH>
            <wp:positionV relativeFrom="paragraph">
              <wp:posOffset>-492369</wp:posOffset>
            </wp:positionV>
            <wp:extent cx="1801368" cy="975360"/>
            <wp:effectExtent l="0" t="0" r="8890" b="0"/>
            <wp:wrapNone/>
            <wp:docPr id="3" name="Image 3"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clipart&#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1368" cy="975360"/>
                    </a:xfrm>
                    <a:prstGeom prst="rect">
                      <a:avLst/>
                    </a:prstGeom>
                  </pic:spPr>
                </pic:pic>
              </a:graphicData>
            </a:graphic>
          </wp:anchor>
        </w:drawing>
      </w:r>
    </w:p>
    <w:p w14:paraId="26FC0C29" w14:textId="77777777" w:rsidR="007905B0" w:rsidRDefault="007905B0" w:rsidP="00E12F7C">
      <w:pPr>
        <w:rPr>
          <w:b/>
          <w:bCs/>
          <w:sz w:val="28"/>
          <w:szCs w:val="28"/>
        </w:rPr>
      </w:pPr>
    </w:p>
    <w:p w14:paraId="624C0C1A" w14:textId="77777777" w:rsidR="007905B0" w:rsidRDefault="007905B0" w:rsidP="00E12F7C">
      <w:pPr>
        <w:rPr>
          <w:b/>
          <w:bCs/>
          <w:sz w:val="28"/>
          <w:szCs w:val="28"/>
        </w:rPr>
      </w:pPr>
    </w:p>
    <w:p w14:paraId="387F32FD" w14:textId="001248F2" w:rsidR="007905B0" w:rsidRDefault="007905B0" w:rsidP="00E12F7C">
      <w:pPr>
        <w:rPr>
          <w:b/>
          <w:bCs/>
          <w:sz w:val="28"/>
          <w:szCs w:val="28"/>
        </w:rPr>
      </w:pPr>
    </w:p>
    <w:p w14:paraId="58852C93" w14:textId="080BFA3E" w:rsidR="007905B0" w:rsidRDefault="007905B0" w:rsidP="00E12F7C">
      <w:pPr>
        <w:rPr>
          <w:b/>
          <w:bCs/>
          <w:sz w:val="28"/>
          <w:szCs w:val="28"/>
        </w:rPr>
      </w:pPr>
    </w:p>
    <w:p w14:paraId="4E8BE0C8" w14:textId="77777777" w:rsidR="007905B0" w:rsidRDefault="007905B0" w:rsidP="00E12F7C">
      <w:pPr>
        <w:rPr>
          <w:b/>
          <w:bCs/>
          <w:sz w:val="28"/>
          <w:szCs w:val="28"/>
        </w:rPr>
      </w:pPr>
    </w:p>
    <w:p w14:paraId="13697D8F" w14:textId="3A5DB885" w:rsidR="007905B0" w:rsidRDefault="007905B0" w:rsidP="007905B0">
      <w:pPr>
        <w:jc w:val="center"/>
        <w:rPr>
          <w:color w:val="4472C4" w:themeColor="accent1"/>
          <w:sz w:val="72"/>
          <w:szCs w:val="72"/>
        </w:rPr>
      </w:pPr>
      <w:r>
        <w:rPr>
          <w:color w:val="4472C4" w:themeColor="accent1"/>
          <w:sz w:val="72"/>
          <w:szCs w:val="72"/>
        </w:rPr>
        <w:t>Accueillir des artistes au sein d’une médiathèque pour la mise en place d’une animation</w:t>
      </w:r>
    </w:p>
    <w:p w14:paraId="387C98F7" w14:textId="77777777" w:rsidR="007905B0" w:rsidRDefault="007905B0" w:rsidP="007905B0">
      <w:pPr>
        <w:jc w:val="center"/>
        <w:rPr>
          <w:b/>
          <w:bCs/>
          <w:sz w:val="28"/>
          <w:szCs w:val="28"/>
        </w:rPr>
      </w:pPr>
    </w:p>
    <w:p w14:paraId="6C45A096" w14:textId="77777777" w:rsidR="007905B0" w:rsidRDefault="007905B0" w:rsidP="00E12F7C">
      <w:pPr>
        <w:rPr>
          <w:b/>
          <w:bCs/>
          <w:sz w:val="28"/>
          <w:szCs w:val="28"/>
        </w:rPr>
      </w:pPr>
    </w:p>
    <w:tbl>
      <w:tblPr>
        <w:tblStyle w:val="Grilledutableau"/>
        <w:tblW w:w="10206" w:type="dxa"/>
        <w:tblInd w:w="-572" w:type="dxa"/>
        <w:tblLook w:val="04A0" w:firstRow="1" w:lastRow="0" w:firstColumn="1" w:lastColumn="0" w:noHBand="0" w:noVBand="1"/>
      </w:tblPr>
      <w:tblGrid>
        <w:gridCol w:w="1276"/>
        <w:gridCol w:w="2126"/>
        <w:gridCol w:w="1985"/>
        <w:gridCol w:w="4819"/>
      </w:tblGrid>
      <w:tr w:rsidR="007905B0" w14:paraId="4F46CBD6" w14:textId="77777777" w:rsidTr="00F3210C">
        <w:trPr>
          <w:trHeight w:val="567"/>
        </w:trPr>
        <w:tc>
          <w:tcPr>
            <w:tcW w:w="1276" w:type="dxa"/>
          </w:tcPr>
          <w:p w14:paraId="3FC040F6" w14:textId="77777777" w:rsidR="007905B0" w:rsidRPr="00C244C7" w:rsidRDefault="007905B0" w:rsidP="00F3210C">
            <w:pPr>
              <w:jc w:val="center"/>
              <w:rPr>
                <w:b/>
              </w:rPr>
            </w:pPr>
            <w:r w:rsidRPr="00C244C7">
              <w:rPr>
                <w:b/>
              </w:rPr>
              <w:t>Version</w:t>
            </w:r>
          </w:p>
        </w:tc>
        <w:tc>
          <w:tcPr>
            <w:tcW w:w="2126" w:type="dxa"/>
          </w:tcPr>
          <w:p w14:paraId="4D88E705" w14:textId="77777777" w:rsidR="007905B0" w:rsidRPr="00C244C7" w:rsidRDefault="007905B0" w:rsidP="00F3210C">
            <w:pPr>
              <w:jc w:val="center"/>
              <w:rPr>
                <w:b/>
              </w:rPr>
            </w:pPr>
            <w:r w:rsidRPr="00C244C7">
              <w:rPr>
                <w:b/>
              </w:rPr>
              <w:t>Date</w:t>
            </w:r>
          </w:p>
        </w:tc>
        <w:tc>
          <w:tcPr>
            <w:tcW w:w="1985" w:type="dxa"/>
          </w:tcPr>
          <w:p w14:paraId="181399DD" w14:textId="77777777" w:rsidR="007905B0" w:rsidRPr="00C244C7" w:rsidRDefault="007905B0" w:rsidP="00F3210C">
            <w:pPr>
              <w:jc w:val="center"/>
              <w:rPr>
                <w:b/>
              </w:rPr>
            </w:pPr>
            <w:r w:rsidRPr="00C244C7">
              <w:rPr>
                <w:b/>
              </w:rPr>
              <w:t>Auteur</w:t>
            </w:r>
          </w:p>
        </w:tc>
        <w:tc>
          <w:tcPr>
            <w:tcW w:w="4819" w:type="dxa"/>
          </w:tcPr>
          <w:p w14:paraId="43026E1B" w14:textId="77777777" w:rsidR="007905B0" w:rsidRPr="00C244C7" w:rsidRDefault="007905B0" w:rsidP="00F3210C">
            <w:pPr>
              <w:jc w:val="center"/>
              <w:rPr>
                <w:b/>
              </w:rPr>
            </w:pPr>
            <w:r w:rsidRPr="00C244C7">
              <w:rPr>
                <w:b/>
              </w:rPr>
              <w:t>Description</w:t>
            </w:r>
          </w:p>
        </w:tc>
      </w:tr>
      <w:tr w:rsidR="007905B0" w14:paraId="0FCE106E" w14:textId="77777777" w:rsidTr="00F3210C">
        <w:trPr>
          <w:trHeight w:val="567"/>
        </w:trPr>
        <w:tc>
          <w:tcPr>
            <w:tcW w:w="1276" w:type="dxa"/>
          </w:tcPr>
          <w:p w14:paraId="6A06BC43" w14:textId="77777777" w:rsidR="007905B0" w:rsidRDefault="007905B0" w:rsidP="00F3210C">
            <w:pPr>
              <w:jc w:val="center"/>
            </w:pPr>
            <w:r>
              <w:t>1</w:t>
            </w:r>
          </w:p>
        </w:tc>
        <w:tc>
          <w:tcPr>
            <w:tcW w:w="2126" w:type="dxa"/>
          </w:tcPr>
          <w:p w14:paraId="1F714948" w14:textId="03793187" w:rsidR="007905B0" w:rsidRDefault="007905B0" w:rsidP="00F3210C">
            <w:pPr>
              <w:jc w:val="center"/>
            </w:pPr>
            <w:r>
              <w:t>Mai 2023</w:t>
            </w:r>
          </w:p>
        </w:tc>
        <w:tc>
          <w:tcPr>
            <w:tcW w:w="1985" w:type="dxa"/>
          </w:tcPr>
          <w:p w14:paraId="58151B0F" w14:textId="26A7E640" w:rsidR="007905B0" w:rsidRDefault="007905B0" w:rsidP="00F3210C">
            <w:pPr>
              <w:jc w:val="center"/>
            </w:pPr>
            <w:r>
              <w:t>GND</w:t>
            </w:r>
          </w:p>
        </w:tc>
        <w:tc>
          <w:tcPr>
            <w:tcW w:w="4819" w:type="dxa"/>
          </w:tcPr>
          <w:p w14:paraId="3CBBE85D" w14:textId="77777777" w:rsidR="007905B0" w:rsidRDefault="007905B0" w:rsidP="00F3210C">
            <w:pPr>
              <w:jc w:val="center"/>
            </w:pPr>
            <w:r>
              <w:t>Création de la fiche</w:t>
            </w:r>
          </w:p>
        </w:tc>
      </w:tr>
      <w:tr w:rsidR="007905B0" w14:paraId="56B60184" w14:textId="77777777" w:rsidTr="00F3210C">
        <w:trPr>
          <w:trHeight w:val="567"/>
        </w:trPr>
        <w:tc>
          <w:tcPr>
            <w:tcW w:w="1276" w:type="dxa"/>
          </w:tcPr>
          <w:p w14:paraId="6F58FADD" w14:textId="77777777" w:rsidR="007905B0" w:rsidRDefault="007905B0" w:rsidP="00F3210C">
            <w:pPr>
              <w:jc w:val="center"/>
            </w:pPr>
            <w:r>
              <w:t>2</w:t>
            </w:r>
          </w:p>
        </w:tc>
        <w:tc>
          <w:tcPr>
            <w:tcW w:w="2126" w:type="dxa"/>
          </w:tcPr>
          <w:p w14:paraId="439CE540" w14:textId="2926EF73" w:rsidR="007905B0" w:rsidRDefault="007905B0" w:rsidP="00F3210C">
            <w:pPr>
              <w:jc w:val="center"/>
            </w:pPr>
            <w:r>
              <w:t>Juin 2023</w:t>
            </w:r>
          </w:p>
        </w:tc>
        <w:tc>
          <w:tcPr>
            <w:tcW w:w="1985" w:type="dxa"/>
          </w:tcPr>
          <w:p w14:paraId="7513908E" w14:textId="07C54B4E" w:rsidR="007905B0" w:rsidRDefault="007905B0" w:rsidP="00F3210C">
            <w:pPr>
              <w:jc w:val="center"/>
            </w:pPr>
            <w:r>
              <w:t>DG</w:t>
            </w:r>
          </w:p>
        </w:tc>
        <w:tc>
          <w:tcPr>
            <w:tcW w:w="4819" w:type="dxa"/>
          </w:tcPr>
          <w:p w14:paraId="0A9D7C4B" w14:textId="32B08EA9" w:rsidR="007905B0" w:rsidRDefault="007905B0" w:rsidP="00F3210C">
            <w:pPr>
              <w:jc w:val="center"/>
            </w:pPr>
            <w:r>
              <w:t>relecture</w:t>
            </w:r>
          </w:p>
        </w:tc>
      </w:tr>
      <w:tr w:rsidR="007905B0" w14:paraId="21BD9949" w14:textId="77777777" w:rsidTr="00F3210C">
        <w:trPr>
          <w:trHeight w:val="567"/>
        </w:trPr>
        <w:tc>
          <w:tcPr>
            <w:tcW w:w="1276" w:type="dxa"/>
          </w:tcPr>
          <w:p w14:paraId="1F650E9B" w14:textId="77777777" w:rsidR="007905B0" w:rsidRDefault="007905B0" w:rsidP="00F3210C">
            <w:pPr>
              <w:jc w:val="center"/>
            </w:pPr>
          </w:p>
        </w:tc>
        <w:tc>
          <w:tcPr>
            <w:tcW w:w="2126" w:type="dxa"/>
          </w:tcPr>
          <w:p w14:paraId="02EE0822" w14:textId="77777777" w:rsidR="007905B0" w:rsidRDefault="007905B0" w:rsidP="00F3210C">
            <w:pPr>
              <w:jc w:val="center"/>
            </w:pPr>
          </w:p>
        </w:tc>
        <w:tc>
          <w:tcPr>
            <w:tcW w:w="1985" w:type="dxa"/>
          </w:tcPr>
          <w:p w14:paraId="00BAC032" w14:textId="77777777" w:rsidR="007905B0" w:rsidRDefault="007905B0" w:rsidP="00F3210C">
            <w:pPr>
              <w:jc w:val="center"/>
            </w:pPr>
          </w:p>
        </w:tc>
        <w:tc>
          <w:tcPr>
            <w:tcW w:w="4819" w:type="dxa"/>
          </w:tcPr>
          <w:p w14:paraId="176BE85B" w14:textId="77777777" w:rsidR="007905B0" w:rsidRDefault="007905B0" w:rsidP="00F3210C">
            <w:pPr>
              <w:jc w:val="center"/>
            </w:pPr>
          </w:p>
        </w:tc>
      </w:tr>
      <w:tr w:rsidR="007905B0" w14:paraId="1F341CE0" w14:textId="77777777" w:rsidTr="00F3210C">
        <w:trPr>
          <w:trHeight w:val="567"/>
        </w:trPr>
        <w:tc>
          <w:tcPr>
            <w:tcW w:w="1276" w:type="dxa"/>
          </w:tcPr>
          <w:p w14:paraId="01AE4F02" w14:textId="77777777" w:rsidR="007905B0" w:rsidRDefault="007905B0" w:rsidP="00F3210C">
            <w:pPr>
              <w:jc w:val="center"/>
            </w:pPr>
          </w:p>
        </w:tc>
        <w:tc>
          <w:tcPr>
            <w:tcW w:w="2126" w:type="dxa"/>
          </w:tcPr>
          <w:p w14:paraId="1719C257" w14:textId="77777777" w:rsidR="007905B0" w:rsidRDefault="007905B0" w:rsidP="00F3210C">
            <w:pPr>
              <w:jc w:val="center"/>
            </w:pPr>
          </w:p>
        </w:tc>
        <w:tc>
          <w:tcPr>
            <w:tcW w:w="1985" w:type="dxa"/>
          </w:tcPr>
          <w:p w14:paraId="52414971" w14:textId="77777777" w:rsidR="007905B0" w:rsidRDefault="007905B0" w:rsidP="00F3210C">
            <w:pPr>
              <w:jc w:val="center"/>
            </w:pPr>
          </w:p>
        </w:tc>
        <w:tc>
          <w:tcPr>
            <w:tcW w:w="4819" w:type="dxa"/>
          </w:tcPr>
          <w:p w14:paraId="2DAB499F" w14:textId="77777777" w:rsidR="007905B0" w:rsidRDefault="007905B0" w:rsidP="00F3210C">
            <w:pPr>
              <w:jc w:val="center"/>
            </w:pPr>
          </w:p>
        </w:tc>
      </w:tr>
      <w:tr w:rsidR="007905B0" w14:paraId="10AC1AB6" w14:textId="77777777" w:rsidTr="00F3210C">
        <w:trPr>
          <w:trHeight w:val="567"/>
        </w:trPr>
        <w:tc>
          <w:tcPr>
            <w:tcW w:w="1276" w:type="dxa"/>
          </w:tcPr>
          <w:p w14:paraId="2D447520" w14:textId="77777777" w:rsidR="007905B0" w:rsidRDefault="007905B0" w:rsidP="00F3210C">
            <w:pPr>
              <w:jc w:val="center"/>
            </w:pPr>
          </w:p>
        </w:tc>
        <w:tc>
          <w:tcPr>
            <w:tcW w:w="2126" w:type="dxa"/>
          </w:tcPr>
          <w:p w14:paraId="364E057F" w14:textId="77777777" w:rsidR="007905B0" w:rsidRDefault="007905B0" w:rsidP="00F3210C">
            <w:pPr>
              <w:jc w:val="center"/>
            </w:pPr>
          </w:p>
        </w:tc>
        <w:tc>
          <w:tcPr>
            <w:tcW w:w="1985" w:type="dxa"/>
          </w:tcPr>
          <w:p w14:paraId="6A35ADCE" w14:textId="77777777" w:rsidR="007905B0" w:rsidRDefault="007905B0" w:rsidP="00F3210C">
            <w:pPr>
              <w:jc w:val="center"/>
            </w:pPr>
          </w:p>
        </w:tc>
        <w:tc>
          <w:tcPr>
            <w:tcW w:w="4819" w:type="dxa"/>
          </w:tcPr>
          <w:p w14:paraId="28599B6B" w14:textId="77777777" w:rsidR="007905B0" w:rsidRDefault="007905B0" w:rsidP="00F3210C">
            <w:pPr>
              <w:jc w:val="center"/>
            </w:pPr>
          </w:p>
        </w:tc>
      </w:tr>
    </w:tbl>
    <w:p w14:paraId="01AFD5EB" w14:textId="77777777" w:rsidR="007905B0" w:rsidRDefault="007905B0" w:rsidP="00E12F7C">
      <w:pPr>
        <w:rPr>
          <w:b/>
          <w:bCs/>
          <w:sz w:val="28"/>
          <w:szCs w:val="28"/>
        </w:rPr>
      </w:pPr>
    </w:p>
    <w:p w14:paraId="6D536897" w14:textId="77777777" w:rsidR="007905B0" w:rsidRDefault="007905B0" w:rsidP="00E12F7C">
      <w:pPr>
        <w:rPr>
          <w:b/>
          <w:bCs/>
          <w:sz w:val="28"/>
          <w:szCs w:val="28"/>
        </w:rPr>
      </w:pPr>
    </w:p>
    <w:p w14:paraId="4056D6C9" w14:textId="77777777" w:rsidR="007905B0" w:rsidRDefault="007905B0" w:rsidP="00E12F7C">
      <w:pPr>
        <w:rPr>
          <w:b/>
          <w:bCs/>
          <w:sz w:val="28"/>
          <w:szCs w:val="28"/>
        </w:rPr>
      </w:pPr>
    </w:p>
    <w:p w14:paraId="2A6D36D7" w14:textId="77777777" w:rsidR="007905B0" w:rsidRDefault="007905B0" w:rsidP="00E12F7C">
      <w:pPr>
        <w:rPr>
          <w:b/>
          <w:bCs/>
          <w:sz w:val="28"/>
          <w:szCs w:val="28"/>
        </w:rPr>
      </w:pPr>
    </w:p>
    <w:p w14:paraId="61EAF42B" w14:textId="77777777" w:rsidR="007905B0" w:rsidRDefault="007905B0" w:rsidP="00E12F7C">
      <w:pPr>
        <w:rPr>
          <w:b/>
          <w:bCs/>
          <w:sz w:val="28"/>
          <w:szCs w:val="28"/>
        </w:rPr>
      </w:pPr>
    </w:p>
    <w:p w14:paraId="6A35389E" w14:textId="3ADD96B2" w:rsidR="007905B0" w:rsidRDefault="007905B0" w:rsidP="00E12F7C">
      <w:pPr>
        <w:rPr>
          <w:b/>
          <w:bCs/>
          <w:sz w:val="28"/>
          <w:szCs w:val="28"/>
        </w:rPr>
        <w:sectPr w:rsidR="007905B0" w:rsidSect="007905B0">
          <w:pgSz w:w="11906" w:h="16838"/>
          <w:pgMar w:top="1417" w:right="1417" w:bottom="1417" w:left="1417" w:header="708" w:footer="708" w:gutter="0"/>
          <w:cols w:space="708"/>
          <w:docGrid w:linePitch="360"/>
        </w:sectPr>
      </w:pPr>
    </w:p>
    <w:p w14:paraId="58DA6CF1" w14:textId="2EA4D847" w:rsidR="00E82DD5" w:rsidRDefault="00E12F7C" w:rsidP="00E12F7C">
      <w:pPr>
        <w:rPr>
          <w:b/>
          <w:bCs/>
          <w:sz w:val="28"/>
          <w:szCs w:val="28"/>
        </w:rPr>
      </w:pPr>
      <w:r w:rsidRPr="00D437AB">
        <w:rPr>
          <w:rFonts w:cstheme="minorHAnsi"/>
          <w:noProof/>
        </w:rPr>
        <w:lastRenderedPageBreak/>
        <w:drawing>
          <wp:anchor distT="0" distB="0" distL="114300" distR="114300" simplePos="0" relativeHeight="251661312" behindDoc="0" locked="0" layoutInCell="1" allowOverlap="1" wp14:anchorId="4A727DAF" wp14:editId="00EB5FE6">
            <wp:simplePos x="0" y="0"/>
            <wp:positionH relativeFrom="column">
              <wp:posOffset>8139430</wp:posOffset>
            </wp:positionH>
            <wp:positionV relativeFrom="paragraph">
              <wp:posOffset>-252095</wp:posOffset>
            </wp:positionV>
            <wp:extent cx="1141730" cy="626745"/>
            <wp:effectExtent l="0" t="0" r="1270" b="1905"/>
            <wp:wrapNone/>
            <wp:docPr id="2" name="Image 2" descr="Réseau de lecture | Chateaubriant-Derval - En li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eau de lecture | Chateaubriant-Derval - En lig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1730" cy="626745"/>
                    </a:xfrm>
                    <a:prstGeom prst="rect">
                      <a:avLst/>
                    </a:prstGeom>
                    <a:noFill/>
                    <a:ln>
                      <a:noFill/>
                    </a:ln>
                  </pic:spPr>
                </pic:pic>
              </a:graphicData>
            </a:graphic>
          </wp:anchor>
        </w:drawing>
      </w:r>
      <w:r w:rsidR="00E10041" w:rsidRPr="00E10041">
        <w:rPr>
          <w:b/>
          <w:bCs/>
          <w:sz w:val="28"/>
          <w:szCs w:val="28"/>
        </w:rPr>
        <w:t>ACCUEILLIR DES ARTISTES AU SEIN D’UNE MÉDIATHÈQUE POUR LA MISE EN PLACE D’UNE ANIMATION</w:t>
      </w:r>
    </w:p>
    <w:p w14:paraId="7714D979" w14:textId="322D8800" w:rsidR="00E10041" w:rsidRDefault="00E10041" w:rsidP="00E10041">
      <w:pPr>
        <w:pStyle w:val="Paragraphedeliste"/>
        <w:numPr>
          <w:ilvl w:val="0"/>
          <w:numId w:val="1"/>
        </w:numPr>
        <w:rPr>
          <w:b/>
          <w:bCs/>
          <w:sz w:val="28"/>
          <w:szCs w:val="28"/>
        </w:rPr>
      </w:pPr>
      <w:r>
        <w:rPr>
          <w:b/>
          <w:bCs/>
          <w:sz w:val="28"/>
          <w:szCs w:val="28"/>
        </w:rPr>
        <w:t>Les étapes clefs d</w:t>
      </w:r>
      <w:r w:rsidR="00340CAF">
        <w:rPr>
          <w:b/>
          <w:bCs/>
          <w:sz w:val="28"/>
          <w:szCs w:val="28"/>
        </w:rPr>
        <w:t>’un</w:t>
      </w:r>
      <w:r>
        <w:rPr>
          <w:b/>
          <w:bCs/>
          <w:sz w:val="28"/>
          <w:szCs w:val="28"/>
        </w:rPr>
        <w:t xml:space="preserve"> projet d</w:t>
      </w:r>
      <w:r w:rsidR="00485ECA">
        <w:rPr>
          <w:b/>
          <w:bCs/>
          <w:sz w:val="28"/>
          <w:szCs w:val="28"/>
        </w:rPr>
        <w:t>e médiation</w:t>
      </w:r>
    </w:p>
    <w:p w14:paraId="787B5AF3" w14:textId="5D614B04" w:rsidR="00E10041" w:rsidRDefault="00A64AC2" w:rsidP="00E10041">
      <w:pPr>
        <w:rPr>
          <w:b/>
          <w:bCs/>
          <w:sz w:val="28"/>
          <w:szCs w:val="28"/>
        </w:rPr>
      </w:pPr>
      <w:r>
        <w:rPr>
          <w:b/>
          <w:bCs/>
          <w:noProof/>
          <w:sz w:val="28"/>
          <w:szCs w:val="28"/>
        </w:rPr>
        <w:drawing>
          <wp:anchor distT="0" distB="0" distL="114300" distR="114300" simplePos="0" relativeHeight="251660288" behindDoc="0" locked="0" layoutInCell="1" allowOverlap="1" wp14:anchorId="07616EFD" wp14:editId="6FD2A5D8">
            <wp:simplePos x="0" y="0"/>
            <wp:positionH relativeFrom="page">
              <wp:align>right</wp:align>
            </wp:positionH>
            <wp:positionV relativeFrom="paragraph">
              <wp:posOffset>333375</wp:posOffset>
            </wp:positionV>
            <wp:extent cx="10677525" cy="5396046"/>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77525" cy="539604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8E53E6" w14:textId="57D6900E" w:rsidR="00E10041" w:rsidRDefault="00E10041" w:rsidP="00E10041">
      <w:pPr>
        <w:rPr>
          <w:b/>
          <w:bCs/>
          <w:sz w:val="28"/>
          <w:szCs w:val="28"/>
        </w:rPr>
      </w:pPr>
    </w:p>
    <w:p w14:paraId="3F6974A4" w14:textId="66A32BF3" w:rsidR="00E10041" w:rsidRDefault="00E10041" w:rsidP="00E10041">
      <w:pPr>
        <w:rPr>
          <w:b/>
          <w:bCs/>
          <w:sz w:val="28"/>
          <w:szCs w:val="28"/>
        </w:rPr>
      </w:pPr>
    </w:p>
    <w:p w14:paraId="38A68CC6" w14:textId="68735840" w:rsidR="00E10041" w:rsidRDefault="00E10041" w:rsidP="00E10041">
      <w:pPr>
        <w:rPr>
          <w:b/>
          <w:bCs/>
          <w:sz w:val="28"/>
          <w:szCs w:val="28"/>
        </w:rPr>
      </w:pPr>
    </w:p>
    <w:p w14:paraId="2C0D84AA" w14:textId="1DA73970" w:rsidR="00E10041" w:rsidRDefault="00E10041" w:rsidP="00E10041">
      <w:pPr>
        <w:rPr>
          <w:b/>
          <w:bCs/>
          <w:sz w:val="28"/>
          <w:szCs w:val="28"/>
        </w:rPr>
      </w:pPr>
    </w:p>
    <w:p w14:paraId="335342B3" w14:textId="1C328BAB" w:rsidR="00E10041" w:rsidRDefault="00E10041" w:rsidP="00E10041">
      <w:pPr>
        <w:rPr>
          <w:b/>
          <w:bCs/>
          <w:sz w:val="28"/>
          <w:szCs w:val="28"/>
        </w:rPr>
      </w:pPr>
    </w:p>
    <w:p w14:paraId="5A24F344" w14:textId="569550DE" w:rsidR="00E10041" w:rsidRDefault="00E10041" w:rsidP="00E10041">
      <w:pPr>
        <w:rPr>
          <w:b/>
          <w:bCs/>
          <w:sz w:val="28"/>
          <w:szCs w:val="28"/>
        </w:rPr>
      </w:pPr>
    </w:p>
    <w:p w14:paraId="394C3455" w14:textId="3B8078FF" w:rsidR="00E10041" w:rsidRDefault="00E10041" w:rsidP="00E10041">
      <w:pPr>
        <w:rPr>
          <w:b/>
          <w:bCs/>
          <w:sz w:val="28"/>
          <w:szCs w:val="28"/>
        </w:rPr>
      </w:pPr>
    </w:p>
    <w:p w14:paraId="4AAE997D" w14:textId="27433BDC" w:rsidR="00E10041" w:rsidRDefault="00E10041" w:rsidP="00E10041">
      <w:pPr>
        <w:rPr>
          <w:b/>
          <w:bCs/>
          <w:sz w:val="28"/>
          <w:szCs w:val="28"/>
        </w:rPr>
      </w:pPr>
    </w:p>
    <w:p w14:paraId="595C2C87" w14:textId="40252D6E" w:rsidR="00E10041" w:rsidRDefault="00E10041" w:rsidP="00E10041">
      <w:pPr>
        <w:rPr>
          <w:b/>
          <w:bCs/>
          <w:sz w:val="28"/>
          <w:szCs w:val="28"/>
        </w:rPr>
      </w:pPr>
    </w:p>
    <w:p w14:paraId="6D4CAE7F" w14:textId="31CF40AA" w:rsidR="00E10041" w:rsidRDefault="00E10041" w:rsidP="00E10041">
      <w:pPr>
        <w:rPr>
          <w:b/>
          <w:bCs/>
          <w:sz w:val="28"/>
          <w:szCs w:val="28"/>
        </w:rPr>
      </w:pPr>
    </w:p>
    <w:p w14:paraId="76F07D6A" w14:textId="03084C8A" w:rsidR="00E10041" w:rsidRDefault="00E10041" w:rsidP="00E10041">
      <w:pPr>
        <w:rPr>
          <w:b/>
          <w:bCs/>
          <w:sz w:val="28"/>
          <w:szCs w:val="28"/>
        </w:rPr>
      </w:pPr>
    </w:p>
    <w:p w14:paraId="706CF583" w14:textId="1F13A951" w:rsidR="00E10041" w:rsidRDefault="00E10041" w:rsidP="00E10041">
      <w:pPr>
        <w:rPr>
          <w:b/>
          <w:bCs/>
          <w:sz w:val="28"/>
          <w:szCs w:val="28"/>
        </w:rPr>
      </w:pPr>
    </w:p>
    <w:p w14:paraId="5053433E" w14:textId="254791EB" w:rsidR="00E10041" w:rsidRDefault="00E10041" w:rsidP="00E10041">
      <w:pPr>
        <w:rPr>
          <w:b/>
          <w:bCs/>
          <w:sz w:val="28"/>
          <w:szCs w:val="28"/>
        </w:rPr>
      </w:pPr>
    </w:p>
    <w:p w14:paraId="45B5A988" w14:textId="653592FB" w:rsidR="00E10041" w:rsidRDefault="00E10041" w:rsidP="00E10041">
      <w:pPr>
        <w:rPr>
          <w:b/>
          <w:bCs/>
          <w:sz w:val="28"/>
          <w:szCs w:val="28"/>
        </w:rPr>
      </w:pPr>
    </w:p>
    <w:p w14:paraId="47544DEB" w14:textId="06E7A703" w:rsidR="00E10041" w:rsidRDefault="00E10041" w:rsidP="00E10041">
      <w:pPr>
        <w:pStyle w:val="Paragraphedeliste"/>
        <w:numPr>
          <w:ilvl w:val="0"/>
          <w:numId w:val="1"/>
        </w:numPr>
        <w:rPr>
          <w:b/>
          <w:bCs/>
          <w:sz w:val="28"/>
          <w:szCs w:val="28"/>
        </w:rPr>
      </w:pPr>
      <w:r>
        <w:rPr>
          <w:b/>
          <w:bCs/>
          <w:sz w:val="28"/>
          <w:szCs w:val="28"/>
        </w:rPr>
        <w:lastRenderedPageBreak/>
        <w:t>Les différents modes de rémunération</w:t>
      </w:r>
      <w:r w:rsidR="001C37EB">
        <w:rPr>
          <w:b/>
          <w:bCs/>
          <w:sz w:val="28"/>
          <w:szCs w:val="28"/>
        </w:rPr>
        <w:t xml:space="preserve"> et la gestion administrative et budgétaire d’un artiste.</w:t>
      </w:r>
    </w:p>
    <w:p w14:paraId="59306ACE" w14:textId="68CDB0C9" w:rsidR="00A75482" w:rsidRDefault="00340CAF" w:rsidP="00A75482">
      <w:pPr>
        <w:pStyle w:val="Paragraphedeliste"/>
        <w:rPr>
          <w:sz w:val="24"/>
          <w:szCs w:val="24"/>
        </w:rPr>
      </w:pPr>
      <w:r w:rsidRPr="00340CAF">
        <w:rPr>
          <w:sz w:val="24"/>
          <w:szCs w:val="24"/>
        </w:rPr>
        <w:t>Dans le secteur des bibliothèques, de nombreuses actions conduisent à rémunérer des artist</w:t>
      </w:r>
      <w:r w:rsidR="00946F24">
        <w:rPr>
          <w:sz w:val="24"/>
          <w:szCs w:val="24"/>
        </w:rPr>
        <w:t>es pour des prestations</w:t>
      </w:r>
      <w:r w:rsidRPr="00340CAF">
        <w:rPr>
          <w:sz w:val="24"/>
          <w:szCs w:val="24"/>
        </w:rPr>
        <w:t>, qui n’auront pas forcément le même statut et le même traitement budgétaire (auteurs, interprètes, illustrateurs, chanteurs, conteurs…)</w:t>
      </w:r>
    </w:p>
    <w:p w14:paraId="6C280B73" w14:textId="718B9CAB" w:rsidR="001C37EB" w:rsidRDefault="001C37EB" w:rsidP="00A75482">
      <w:pPr>
        <w:pStyle w:val="Paragraphedeliste"/>
        <w:rPr>
          <w:sz w:val="24"/>
          <w:szCs w:val="24"/>
        </w:rPr>
      </w:pPr>
    </w:p>
    <w:p w14:paraId="22AD7EDD" w14:textId="48819C51" w:rsidR="001C37EB" w:rsidRDefault="001C37EB" w:rsidP="00A75482">
      <w:pPr>
        <w:pStyle w:val="Paragraphedeliste"/>
        <w:rPr>
          <w:sz w:val="24"/>
          <w:szCs w:val="24"/>
        </w:rPr>
      </w:pPr>
      <w:r>
        <w:rPr>
          <w:sz w:val="24"/>
          <w:szCs w:val="24"/>
        </w:rPr>
        <w:t>La première étape est la réception d’un devis. Attention, un devis doit contenir un certain nombre d’éléments essentiels :</w:t>
      </w:r>
    </w:p>
    <w:p w14:paraId="35D79F8F" w14:textId="391AF223" w:rsidR="001C37EB" w:rsidRDefault="00B56A54" w:rsidP="00A64AC2">
      <w:pPr>
        <w:pStyle w:val="Paragraphedeliste"/>
        <w:jc w:val="center"/>
        <w:rPr>
          <w:sz w:val="24"/>
          <w:szCs w:val="24"/>
        </w:rPr>
      </w:pPr>
      <w:r>
        <w:rPr>
          <w:noProof/>
          <w:sz w:val="24"/>
          <w:szCs w:val="24"/>
        </w:rPr>
        <w:drawing>
          <wp:anchor distT="0" distB="0" distL="114300" distR="114300" simplePos="0" relativeHeight="251659264" behindDoc="1" locked="0" layoutInCell="1" allowOverlap="1" wp14:anchorId="26CF1C52" wp14:editId="373620D4">
            <wp:simplePos x="0" y="0"/>
            <wp:positionH relativeFrom="margin">
              <wp:align>center</wp:align>
            </wp:positionH>
            <wp:positionV relativeFrom="paragraph">
              <wp:posOffset>5715</wp:posOffset>
            </wp:positionV>
            <wp:extent cx="6429375" cy="4010025"/>
            <wp:effectExtent l="0" t="0" r="9525" b="952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29375" cy="4010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0551C8" w14:textId="648A2B22" w:rsidR="00340CAF" w:rsidRDefault="00340CAF" w:rsidP="00A75482">
      <w:pPr>
        <w:pStyle w:val="Paragraphedeliste"/>
        <w:rPr>
          <w:sz w:val="24"/>
          <w:szCs w:val="24"/>
        </w:rPr>
      </w:pPr>
    </w:p>
    <w:p w14:paraId="2ACA43A6" w14:textId="59C7EA33" w:rsidR="00340CAF" w:rsidRDefault="00340CAF" w:rsidP="00A75482">
      <w:pPr>
        <w:pStyle w:val="Paragraphedeliste"/>
        <w:rPr>
          <w:sz w:val="24"/>
          <w:szCs w:val="24"/>
        </w:rPr>
      </w:pPr>
    </w:p>
    <w:p w14:paraId="65709D49" w14:textId="3E17AA06" w:rsidR="00B56A54" w:rsidRDefault="00B56A54" w:rsidP="00A75482">
      <w:pPr>
        <w:pStyle w:val="Paragraphedeliste"/>
        <w:rPr>
          <w:sz w:val="24"/>
          <w:szCs w:val="24"/>
        </w:rPr>
      </w:pPr>
    </w:p>
    <w:p w14:paraId="2CE275A8" w14:textId="06C880D5" w:rsidR="00B56A54" w:rsidRDefault="00B56A54" w:rsidP="00A75482">
      <w:pPr>
        <w:pStyle w:val="Paragraphedeliste"/>
        <w:rPr>
          <w:sz w:val="24"/>
          <w:szCs w:val="24"/>
        </w:rPr>
      </w:pPr>
    </w:p>
    <w:p w14:paraId="550313D7" w14:textId="721CFC3D" w:rsidR="00B56A54" w:rsidRDefault="00B56A54" w:rsidP="00A75482">
      <w:pPr>
        <w:pStyle w:val="Paragraphedeliste"/>
        <w:rPr>
          <w:sz w:val="24"/>
          <w:szCs w:val="24"/>
        </w:rPr>
      </w:pPr>
    </w:p>
    <w:p w14:paraId="5D05A7E5" w14:textId="3D06E039" w:rsidR="00B56A54" w:rsidRDefault="00B56A54" w:rsidP="00A75482">
      <w:pPr>
        <w:pStyle w:val="Paragraphedeliste"/>
        <w:rPr>
          <w:sz w:val="24"/>
          <w:szCs w:val="24"/>
        </w:rPr>
      </w:pPr>
    </w:p>
    <w:p w14:paraId="4BD4B0FD" w14:textId="3996C249" w:rsidR="00B56A54" w:rsidRDefault="00B56A54" w:rsidP="00A75482">
      <w:pPr>
        <w:pStyle w:val="Paragraphedeliste"/>
        <w:rPr>
          <w:sz w:val="24"/>
          <w:szCs w:val="24"/>
        </w:rPr>
      </w:pPr>
    </w:p>
    <w:p w14:paraId="67A84555" w14:textId="3D78AD6A" w:rsidR="00B56A54" w:rsidRDefault="00B56A54" w:rsidP="00A75482">
      <w:pPr>
        <w:pStyle w:val="Paragraphedeliste"/>
        <w:rPr>
          <w:sz w:val="24"/>
          <w:szCs w:val="24"/>
        </w:rPr>
      </w:pPr>
    </w:p>
    <w:p w14:paraId="59A185B0" w14:textId="24928409" w:rsidR="00B56A54" w:rsidRDefault="00B56A54" w:rsidP="00A75482">
      <w:pPr>
        <w:pStyle w:val="Paragraphedeliste"/>
        <w:rPr>
          <w:sz w:val="24"/>
          <w:szCs w:val="24"/>
        </w:rPr>
      </w:pPr>
    </w:p>
    <w:p w14:paraId="23E0119B" w14:textId="661033F5" w:rsidR="00B56A54" w:rsidRDefault="00B56A54" w:rsidP="00A75482">
      <w:pPr>
        <w:pStyle w:val="Paragraphedeliste"/>
        <w:rPr>
          <w:sz w:val="24"/>
          <w:szCs w:val="24"/>
        </w:rPr>
      </w:pPr>
    </w:p>
    <w:p w14:paraId="16A6373E" w14:textId="01A1F4F5" w:rsidR="00B56A54" w:rsidRDefault="00B56A54" w:rsidP="00A75482">
      <w:pPr>
        <w:pStyle w:val="Paragraphedeliste"/>
        <w:rPr>
          <w:sz w:val="24"/>
          <w:szCs w:val="24"/>
        </w:rPr>
      </w:pPr>
    </w:p>
    <w:p w14:paraId="3D3F0DA8" w14:textId="36FBB7C8" w:rsidR="00B56A54" w:rsidRDefault="00B56A54" w:rsidP="00A75482">
      <w:pPr>
        <w:pStyle w:val="Paragraphedeliste"/>
        <w:rPr>
          <w:sz w:val="24"/>
          <w:szCs w:val="24"/>
        </w:rPr>
      </w:pPr>
    </w:p>
    <w:p w14:paraId="71C6391D" w14:textId="5C89F5FC" w:rsidR="00B56A54" w:rsidRDefault="00B56A54" w:rsidP="00A75482">
      <w:pPr>
        <w:pStyle w:val="Paragraphedeliste"/>
        <w:rPr>
          <w:sz w:val="24"/>
          <w:szCs w:val="24"/>
        </w:rPr>
      </w:pPr>
    </w:p>
    <w:p w14:paraId="33AEA67B" w14:textId="4E357FAB" w:rsidR="00B56A54" w:rsidRDefault="00B56A54" w:rsidP="00A75482">
      <w:pPr>
        <w:pStyle w:val="Paragraphedeliste"/>
        <w:rPr>
          <w:sz w:val="24"/>
          <w:szCs w:val="24"/>
        </w:rPr>
      </w:pPr>
    </w:p>
    <w:p w14:paraId="756FABCB" w14:textId="581E816E" w:rsidR="00B56A54" w:rsidRDefault="00B56A54" w:rsidP="00A75482">
      <w:pPr>
        <w:pStyle w:val="Paragraphedeliste"/>
        <w:rPr>
          <w:sz w:val="24"/>
          <w:szCs w:val="24"/>
        </w:rPr>
      </w:pPr>
    </w:p>
    <w:p w14:paraId="00A1D186" w14:textId="250B6A9F" w:rsidR="004E4063" w:rsidRDefault="004E4063" w:rsidP="000863C0">
      <w:pPr>
        <w:rPr>
          <w:sz w:val="24"/>
          <w:szCs w:val="24"/>
        </w:rPr>
      </w:pPr>
    </w:p>
    <w:p w14:paraId="3B55B690" w14:textId="5BB82AA8" w:rsidR="004E4063" w:rsidRDefault="004E4063" w:rsidP="000863C0">
      <w:pPr>
        <w:rPr>
          <w:sz w:val="24"/>
          <w:szCs w:val="24"/>
        </w:rPr>
      </w:pPr>
    </w:p>
    <w:p w14:paraId="3B7B5B5D" w14:textId="16DC0F12" w:rsidR="004E4063" w:rsidRDefault="004E4063" w:rsidP="000863C0">
      <w:pPr>
        <w:rPr>
          <w:sz w:val="24"/>
          <w:szCs w:val="24"/>
        </w:rPr>
      </w:pPr>
    </w:p>
    <w:p w14:paraId="63FA7E6F" w14:textId="4071C8F5" w:rsidR="000863C0" w:rsidRPr="000863C0" w:rsidRDefault="004E4063" w:rsidP="000863C0">
      <w:pPr>
        <w:rPr>
          <w:sz w:val="24"/>
          <w:szCs w:val="24"/>
        </w:rPr>
      </w:pPr>
      <w:r>
        <w:rPr>
          <w:sz w:val="24"/>
          <w:szCs w:val="24"/>
        </w:rPr>
        <w:t>P</w:t>
      </w:r>
      <w:r w:rsidR="000863C0" w:rsidRPr="000863C0">
        <w:rPr>
          <w:sz w:val="24"/>
          <w:szCs w:val="24"/>
        </w:rPr>
        <w:t>lusieurs contrats et règlements sont ensuite possibles :</w:t>
      </w:r>
    </w:p>
    <w:p w14:paraId="67864D46" w14:textId="36D59275" w:rsidR="004E4063" w:rsidRDefault="004E4063" w:rsidP="000863C0">
      <w:pPr>
        <w:rPr>
          <w:b/>
          <w:bCs/>
          <w:noProof/>
          <w:sz w:val="28"/>
          <w:szCs w:val="28"/>
        </w:rPr>
      </w:pPr>
      <w:r w:rsidRPr="004E4063">
        <w:rPr>
          <w:b/>
          <w:bCs/>
          <w:noProof/>
          <w:sz w:val="28"/>
          <w:szCs w:val="28"/>
        </w:rPr>
        <w:lastRenderedPageBreak/>
        <w:drawing>
          <wp:inline distT="0" distB="0" distL="0" distR="0" wp14:anchorId="6670CADE" wp14:editId="3EC68EB5">
            <wp:extent cx="8892540" cy="4875530"/>
            <wp:effectExtent l="0" t="0" r="41910" b="20320"/>
            <wp:docPr id="1" name="Diagramme 1">
              <a:extLst xmlns:a="http://schemas.openxmlformats.org/drawingml/2006/main">
                <a:ext uri="{FF2B5EF4-FFF2-40B4-BE49-F238E27FC236}">
                  <a16:creationId xmlns:a16="http://schemas.microsoft.com/office/drawing/2014/main" id="{EEFFA4ED-B90B-4696-8088-B637DC3A672B}"/>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63133C77" w14:textId="627A7D8F" w:rsidR="00E10041" w:rsidRPr="00963D98" w:rsidRDefault="00E10041" w:rsidP="00963D98">
      <w:pPr>
        <w:pStyle w:val="Paragraphedeliste"/>
        <w:numPr>
          <w:ilvl w:val="0"/>
          <w:numId w:val="1"/>
        </w:numPr>
        <w:rPr>
          <w:b/>
          <w:bCs/>
          <w:sz w:val="28"/>
          <w:szCs w:val="28"/>
        </w:rPr>
      </w:pPr>
      <w:r w:rsidRPr="00963D98">
        <w:rPr>
          <w:b/>
          <w:bCs/>
          <w:sz w:val="28"/>
          <w:szCs w:val="28"/>
        </w:rPr>
        <w:t xml:space="preserve">Quelques conseils </w:t>
      </w:r>
    </w:p>
    <w:p w14:paraId="16CB754B" w14:textId="77777777" w:rsidR="004E4063" w:rsidRDefault="00E10041" w:rsidP="004E4063">
      <w:pPr>
        <w:jc w:val="both"/>
        <w:rPr>
          <w:b/>
          <w:bCs/>
          <w:sz w:val="28"/>
          <w:szCs w:val="28"/>
        </w:rPr>
      </w:pPr>
      <w:r w:rsidRPr="004E4063">
        <w:rPr>
          <w:b/>
          <w:bCs/>
          <w:sz w:val="24"/>
          <w:szCs w:val="24"/>
        </w:rPr>
        <w:t>Ne pas hésiter à discuter avec les artistes partenaires pour anticiper au mieux les problèmes</w:t>
      </w:r>
      <w:r w:rsidRPr="004E4063">
        <w:rPr>
          <w:sz w:val="24"/>
          <w:szCs w:val="24"/>
        </w:rPr>
        <w:t> : revoir ensemble les contraintes de la fiche technique, bien préciser les modalités logistiques et les horaires de chacun, avertir d’un public spécifique…</w:t>
      </w:r>
    </w:p>
    <w:p w14:paraId="1A8B94D8" w14:textId="1EFACE5C" w:rsidR="00E10041" w:rsidRPr="004E4063" w:rsidRDefault="00A75482" w:rsidP="004E4063">
      <w:pPr>
        <w:jc w:val="both"/>
        <w:rPr>
          <w:b/>
          <w:bCs/>
          <w:sz w:val="28"/>
          <w:szCs w:val="28"/>
        </w:rPr>
      </w:pPr>
      <w:r w:rsidRPr="004E4063">
        <w:rPr>
          <w:b/>
          <w:bCs/>
          <w:sz w:val="24"/>
          <w:szCs w:val="24"/>
        </w:rPr>
        <w:lastRenderedPageBreak/>
        <w:t>Anticiper la communication</w:t>
      </w:r>
      <w:r w:rsidRPr="004E4063">
        <w:rPr>
          <w:sz w:val="24"/>
          <w:szCs w:val="24"/>
        </w:rPr>
        <w:t xml:space="preserve">. Généralement, il est conseillé de communiquer un mois avant un évènement et de faire des rappels </w:t>
      </w:r>
      <w:r w:rsidR="00B56A54" w:rsidRPr="004E4063">
        <w:rPr>
          <w:sz w:val="24"/>
          <w:szCs w:val="24"/>
        </w:rPr>
        <w:t>plusieurs jours</w:t>
      </w:r>
      <w:r w:rsidRPr="004E4063">
        <w:rPr>
          <w:sz w:val="24"/>
          <w:szCs w:val="24"/>
        </w:rPr>
        <w:t xml:space="preserve"> avant. Le temps de visibilité n’est pas le même pour une affiche qui doit rester un temps long, et un post </w:t>
      </w:r>
      <w:proofErr w:type="spellStart"/>
      <w:r w:rsidRPr="004E4063">
        <w:rPr>
          <w:sz w:val="24"/>
          <w:szCs w:val="24"/>
        </w:rPr>
        <w:t>facebook</w:t>
      </w:r>
      <w:proofErr w:type="spellEnd"/>
      <w:r w:rsidRPr="004E4063">
        <w:rPr>
          <w:sz w:val="24"/>
          <w:szCs w:val="24"/>
        </w:rPr>
        <w:t xml:space="preserve"> qui aura plus une valeur d’instantanéité. De même, multiplier les canaux permet de toucher un public varié. </w:t>
      </w:r>
    </w:p>
    <w:p w14:paraId="47988129" w14:textId="6742F305" w:rsidR="00A75482" w:rsidRPr="004E4063" w:rsidRDefault="00A75482" w:rsidP="004E4063">
      <w:pPr>
        <w:jc w:val="both"/>
        <w:rPr>
          <w:b/>
          <w:bCs/>
          <w:sz w:val="28"/>
          <w:szCs w:val="28"/>
        </w:rPr>
      </w:pPr>
      <w:r w:rsidRPr="004E4063">
        <w:rPr>
          <w:sz w:val="24"/>
          <w:szCs w:val="24"/>
        </w:rPr>
        <w:t xml:space="preserve">Le jour J, </w:t>
      </w:r>
      <w:r w:rsidRPr="004E4063">
        <w:rPr>
          <w:b/>
          <w:bCs/>
          <w:sz w:val="24"/>
          <w:szCs w:val="24"/>
        </w:rPr>
        <w:t>attention à l’installation des espaces</w:t>
      </w:r>
      <w:r w:rsidRPr="004E4063">
        <w:rPr>
          <w:sz w:val="24"/>
          <w:szCs w:val="24"/>
        </w:rPr>
        <w:t> : lieux de passage, évacuation possible des locaux, respect des jauges…</w:t>
      </w:r>
    </w:p>
    <w:p w14:paraId="3A42A855" w14:textId="51D5993A" w:rsidR="00A75482" w:rsidRPr="004E4063" w:rsidRDefault="00A75482" w:rsidP="004E4063">
      <w:pPr>
        <w:jc w:val="both"/>
        <w:rPr>
          <w:b/>
          <w:bCs/>
          <w:sz w:val="28"/>
          <w:szCs w:val="28"/>
        </w:rPr>
      </w:pPr>
      <w:r w:rsidRPr="004E4063">
        <w:rPr>
          <w:b/>
          <w:bCs/>
          <w:sz w:val="24"/>
          <w:szCs w:val="24"/>
        </w:rPr>
        <w:t>L’évaluation est essentielle</w:t>
      </w:r>
      <w:r w:rsidRPr="004E4063">
        <w:rPr>
          <w:sz w:val="24"/>
          <w:szCs w:val="24"/>
        </w:rPr>
        <w:t xml:space="preserve"> et permet notamment de montrer aux élus le dynamisme et l’impact de la structure. Afin de valoriser la bibliothèque, il est également tout à fait possible de communiquer après un spectacle en proposant un « Retour sur » qui donnera de la visibilité aux actions menées.</w:t>
      </w:r>
    </w:p>
    <w:p w14:paraId="2908D799" w14:textId="497B2486" w:rsidR="00FC4D22" w:rsidRPr="004E4063" w:rsidRDefault="00FC4D22" w:rsidP="004E4063">
      <w:pPr>
        <w:jc w:val="both"/>
        <w:rPr>
          <w:b/>
          <w:bCs/>
          <w:sz w:val="28"/>
          <w:szCs w:val="28"/>
        </w:rPr>
      </w:pPr>
      <w:r w:rsidRPr="004E4063">
        <w:rPr>
          <w:b/>
          <w:bCs/>
          <w:sz w:val="24"/>
          <w:szCs w:val="24"/>
        </w:rPr>
        <w:t xml:space="preserve">La diffusion d’une musique </w:t>
      </w:r>
      <w:r w:rsidR="00946F24" w:rsidRPr="004E4063">
        <w:rPr>
          <w:sz w:val="24"/>
          <w:szCs w:val="24"/>
        </w:rPr>
        <w:t xml:space="preserve">induit </w:t>
      </w:r>
      <w:r w:rsidRPr="004E4063">
        <w:rPr>
          <w:sz w:val="24"/>
          <w:szCs w:val="24"/>
        </w:rPr>
        <w:t>obligatoirement une déclaration à la SACEM.</w:t>
      </w:r>
    </w:p>
    <w:p w14:paraId="1DFCD344" w14:textId="2E8A6F2F" w:rsidR="00946F24" w:rsidRPr="004E4063" w:rsidRDefault="00946F24" w:rsidP="004E4063">
      <w:pPr>
        <w:jc w:val="both"/>
        <w:rPr>
          <w:b/>
          <w:bCs/>
          <w:sz w:val="24"/>
          <w:szCs w:val="24"/>
        </w:rPr>
      </w:pPr>
      <w:r w:rsidRPr="004E4063">
        <w:rPr>
          <w:b/>
          <w:bCs/>
          <w:sz w:val="24"/>
          <w:szCs w:val="24"/>
        </w:rPr>
        <w:t xml:space="preserve">Le paiement en droits d’auteur auprès de l’URSSAF est une procédure relativement complexe. </w:t>
      </w:r>
      <w:r w:rsidRPr="004E4063">
        <w:rPr>
          <w:sz w:val="24"/>
          <w:szCs w:val="24"/>
        </w:rPr>
        <w:t xml:space="preserve">L’auteur est censé fournir lui-même une note de droits d’auteur </w:t>
      </w:r>
      <w:r w:rsidR="00800ED7" w:rsidRPr="004E4063">
        <w:rPr>
          <w:sz w:val="24"/>
          <w:szCs w:val="24"/>
        </w:rPr>
        <w:t xml:space="preserve">comprenant la question du </w:t>
      </w:r>
      <w:r w:rsidRPr="004E4063">
        <w:rPr>
          <w:sz w:val="24"/>
          <w:szCs w:val="24"/>
        </w:rPr>
        <w:t>précompte. De même, son statut à déclarer dans l’URSSAF peut lui être demandé par la bibliothèque parmi la multitude de statuts possibles (artiste-</w:t>
      </w:r>
      <w:proofErr w:type="spellStart"/>
      <w:r w:rsidRPr="004E4063">
        <w:rPr>
          <w:sz w:val="24"/>
          <w:szCs w:val="24"/>
        </w:rPr>
        <w:t>auteur,auteur</w:t>
      </w:r>
      <w:proofErr w:type="spellEnd"/>
      <w:r w:rsidRPr="004E4063">
        <w:rPr>
          <w:sz w:val="24"/>
          <w:szCs w:val="24"/>
        </w:rPr>
        <w:t>-</w:t>
      </w:r>
      <w:proofErr w:type="spellStart"/>
      <w:r w:rsidRPr="004E4063">
        <w:rPr>
          <w:sz w:val="24"/>
          <w:szCs w:val="24"/>
        </w:rPr>
        <w:t>illustrateur,coloriste</w:t>
      </w:r>
      <w:proofErr w:type="spellEnd"/>
      <w:r w:rsidRPr="004E4063">
        <w:rPr>
          <w:sz w:val="24"/>
          <w:szCs w:val="24"/>
        </w:rPr>
        <w:t>, etc.)</w:t>
      </w:r>
    </w:p>
    <w:p w14:paraId="09134D61" w14:textId="264F572A" w:rsidR="00FC4D22" w:rsidRPr="004E4063" w:rsidRDefault="00946F24" w:rsidP="004E4063">
      <w:pPr>
        <w:jc w:val="both"/>
        <w:rPr>
          <w:sz w:val="24"/>
          <w:szCs w:val="24"/>
        </w:rPr>
      </w:pPr>
      <w:r w:rsidRPr="004E4063">
        <w:rPr>
          <w:b/>
          <w:bCs/>
          <w:sz w:val="24"/>
          <w:szCs w:val="24"/>
        </w:rPr>
        <w:t xml:space="preserve">Sur les devis et les factures, il peut être pertinent d’avoir un barème, équivalent à celui de votre collectivité, pour les frais de déplacement ou les frais de bouche </w:t>
      </w:r>
      <w:r w:rsidRPr="004E4063">
        <w:rPr>
          <w:sz w:val="24"/>
          <w:szCs w:val="24"/>
        </w:rPr>
        <w:t xml:space="preserve">(montant du remboursement par kilomètre selon la puissance fiscale de la voiture par exemple). </w:t>
      </w:r>
    </w:p>
    <w:p w14:paraId="2A929E79" w14:textId="03A7C93B" w:rsidR="00FC4D22" w:rsidRPr="000863C0" w:rsidRDefault="00800ED7" w:rsidP="004E4063">
      <w:pPr>
        <w:rPr>
          <w:sz w:val="24"/>
          <w:szCs w:val="24"/>
        </w:rPr>
      </w:pPr>
      <w:r w:rsidRPr="000863C0">
        <w:rPr>
          <w:sz w:val="24"/>
          <w:szCs w:val="24"/>
        </w:rPr>
        <w:t>Sites utiles</w:t>
      </w:r>
    </w:p>
    <w:p w14:paraId="674BC00C" w14:textId="18CF56CF" w:rsidR="00FC4D22" w:rsidRPr="000863C0" w:rsidRDefault="007905B0" w:rsidP="004E4063">
      <w:pPr>
        <w:rPr>
          <w:b/>
          <w:bCs/>
          <w:color w:val="171717" w:themeColor="background2" w:themeShade="1A"/>
          <w:sz w:val="20"/>
          <w:szCs w:val="20"/>
        </w:rPr>
      </w:pPr>
      <w:hyperlink r:id="rId15" w:history="1">
        <w:r w:rsidR="004E4063" w:rsidRPr="004A4996">
          <w:rPr>
            <w:rStyle w:val="Lienhypertexte"/>
            <w:b/>
            <w:bCs/>
            <w:color w:val="000913" w:themeColor="hyperlink" w:themeShade="1A"/>
            <w:sz w:val="20"/>
            <w:szCs w:val="20"/>
          </w:rPr>
          <w:t>https://www.occitanielivre.fr/comment-remunerer-les-auteurs</w:t>
        </w:r>
      </w:hyperlink>
    </w:p>
    <w:p w14:paraId="2A110DCF" w14:textId="68483B6C" w:rsidR="00485ECA" w:rsidRPr="000863C0" w:rsidRDefault="007905B0" w:rsidP="004E4063">
      <w:pPr>
        <w:rPr>
          <w:b/>
          <w:bCs/>
          <w:color w:val="171717" w:themeColor="background2" w:themeShade="1A"/>
          <w:sz w:val="20"/>
          <w:szCs w:val="20"/>
        </w:rPr>
      </w:pPr>
      <w:hyperlink r:id="rId16" w:history="1">
        <w:r w:rsidR="004E4063" w:rsidRPr="004A4996">
          <w:rPr>
            <w:rStyle w:val="Lienhypertexte"/>
            <w:b/>
            <w:bCs/>
            <w:color w:val="000913" w:themeColor="hyperlink" w:themeShade="1A"/>
            <w:sz w:val="20"/>
            <w:szCs w:val="20"/>
          </w:rPr>
          <w:t>www.artistes-auteurs.urssaf.fr</w:t>
        </w:r>
      </w:hyperlink>
    </w:p>
    <w:p w14:paraId="5F3240BE" w14:textId="68ABE429" w:rsidR="00485ECA" w:rsidRPr="000863C0" w:rsidRDefault="007905B0" w:rsidP="004E4063">
      <w:pPr>
        <w:rPr>
          <w:b/>
          <w:bCs/>
          <w:color w:val="171717" w:themeColor="background2" w:themeShade="1A"/>
          <w:sz w:val="20"/>
          <w:szCs w:val="20"/>
        </w:rPr>
      </w:pPr>
      <w:hyperlink r:id="rId17" w:history="1">
        <w:r w:rsidR="004E4063" w:rsidRPr="004A4996">
          <w:rPr>
            <w:rStyle w:val="Lienhypertexte"/>
            <w:b/>
            <w:bCs/>
            <w:color w:val="000913" w:themeColor="hyperlink" w:themeShade="1A"/>
            <w:sz w:val="20"/>
            <w:szCs w:val="20"/>
          </w:rPr>
          <w:t>https://www.sgdl.org/</w:t>
        </w:r>
      </w:hyperlink>
    </w:p>
    <w:p w14:paraId="76CE930F" w14:textId="71F85A80" w:rsidR="00800ED7" w:rsidRPr="000863C0" w:rsidRDefault="007905B0" w:rsidP="004E4063">
      <w:pPr>
        <w:rPr>
          <w:b/>
          <w:bCs/>
          <w:color w:val="171717" w:themeColor="background2" w:themeShade="1A"/>
          <w:sz w:val="20"/>
          <w:szCs w:val="20"/>
        </w:rPr>
      </w:pPr>
      <w:hyperlink r:id="rId18" w:history="1">
        <w:r w:rsidR="004E4063" w:rsidRPr="004A4996">
          <w:rPr>
            <w:rStyle w:val="Lienhypertexte"/>
            <w:b/>
            <w:bCs/>
            <w:color w:val="000913" w:themeColor="hyperlink" w:themeShade="1A"/>
            <w:sz w:val="20"/>
            <w:szCs w:val="20"/>
          </w:rPr>
          <w:t>https://www.la-charte.fr/inviter-chartiste/recommandations-tarifaires/</w:t>
        </w:r>
      </w:hyperlink>
    </w:p>
    <w:p w14:paraId="36292313" w14:textId="31ECBD26" w:rsidR="00800ED7" w:rsidRPr="000863C0" w:rsidRDefault="007905B0" w:rsidP="004E4063">
      <w:pPr>
        <w:rPr>
          <w:b/>
          <w:bCs/>
          <w:color w:val="171717" w:themeColor="background2" w:themeShade="1A"/>
          <w:sz w:val="20"/>
          <w:szCs w:val="20"/>
        </w:rPr>
      </w:pPr>
      <w:hyperlink r:id="rId19" w:history="1">
        <w:r w:rsidR="004E4063" w:rsidRPr="004A4996">
          <w:rPr>
            <w:rStyle w:val="Lienhypertexte"/>
            <w:b/>
            <w:bCs/>
            <w:color w:val="000913" w:themeColor="hyperlink" w:themeShade="1A"/>
            <w:sz w:val="20"/>
            <w:szCs w:val="20"/>
          </w:rPr>
          <w:t>https://www.artis-bfc.fr/sites/product/files/2021-01/Fiche-remunerations.pdf</w:t>
        </w:r>
      </w:hyperlink>
    </w:p>
    <w:p w14:paraId="3AD8457D" w14:textId="51A872A0" w:rsidR="000863C0" w:rsidRDefault="007905B0" w:rsidP="004E4063">
      <w:pPr>
        <w:rPr>
          <w:b/>
          <w:bCs/>
          <w:color w:val="171717" w:themeColor="background2" w:themeShade="1A"/>
          <w:sz w:val="20"/>
          <w:szCs w:val="20"/>
        </w:rPr>
      </w:pPr>
      <w:hyperlink r:id="rId20" w:history="1">
        <w:r w:rsidR="004E4063" w:rsidRPr="004A4996">
          <w:rPr>
            <w:rStyle w:val="Lienhypertexte"/>
            <w:b/>
            <w:bCs/>
            <w:color w:val="000913" w:themeColor="hyperlink" w:themeShade="1A"/>
            <w:sz w:val="20"/>
            <w:szCs w:val="20"/>
          </w:rPr>
          <w:t>https://www.guso.fr/information/accueil</w:t>
        </w:r>
      </w:hyperlink>
    </w:p>
    <w:p w14:paraId="680D2660" w14:textId="20CF05E9" w:rsidR="000863C0" w:rsidRPr="000863C0" w:rsidRDefault="007905B0" w:rsidP="004E4063">
      <w:pPr>
        <w:rPr>
          <w:b/>
          <w:bCs/>
          <w:color w:val="171717" w:themeColor="background2" w:themeShade="1A"/>
          <w:sz w:val="20"/>
          <w:szCs w:val="20"/>
        </w:rPr>
      </w:pPr>
      <w:hyperlink r:id="rId21" w:history="1">
        <w:r w:rsidR="004E4063" w:rsidRPr="004A4996">
          <w:rPr>
            <w:rStyle w:val="Lienhypertexte"/>
            <w:b/>
            <w:bCs/>
            <w:color w:val="000913" w:themeColor="hyperlink" w:themeShade="1A"/>
            <w:sz w:val="20"/>
            <w:szCs w:val="20"/>
          </w:rPr>
          <w:t>https://fill-livrelecture.org/wp-content/uploads/2020/02/guide_auteurs_remuneration-maj2020-jv-web.pdf</w:t>
        </w:r>
      </w:hyperlink>
      <w:r w:rsidR="000863C0" w:rsidRPr="000863C0">
        <w:rPr>
          <w:b/>
          <w:bCs/>
          <w:color w:val="171717" w:themeColor="background2" w:themeShade="1A"/>
          <w:sz w:val="20"/>
          <w:szCs w:val="20"/>
        </w:rPr>
        <w:t xml:space="preserve"> </w:t>
      </w:r>
    </w:p>
    <w:p w14:paraId="497F176E" w14:textId="726BFF71" w:rsidR="00800ED7" w:rsidRPr="004E4063" w:rsidRDefault="007905B0" w:rsidP="00FC4D22">
      <w:pPr>
        <w:rPr>
          <w:b/>
          <w:bCs/>
          <w:color w:val="171717" w:themeColor="background2" w:themeShade="1A"/>
          <w:sz w:val="20"/>
          <w:szCs w:val="20"/>
        </w:rPr>
      </w:pPr>
      <w:hyperlink r:id="rId22" w:history="1">
        <w:r w:rsidR="004E4063" w:rsidRPr="004E4063">
          <w:rPr>
            <w:rStyle w:val="Lienhypertexte"/>
            <w:b/>
            <w:bCs/>
            <w:color w:val="171717" w:themeColor="background2" w:themeShade="1A"/>
            <w:sz w:val="20"/>
            <w:szCs w:val="20"/>
          </w:rPr>
          <w:t>https://www.sacem.fr/</w:t>
        </w:r>
      </w:hyperlink>
      <w:r w:rsidR="004E4063" w:rsidRPr="004E4063">
        <w:rPr>
          <w:b/>
          <w:bCs/>
          <w:color w:val="171717" w:themeColor="background2" w:themeShade="1A"/>
          <w:sz w:val="20"/>
          <w:szCs w:val="20"/>
        </w:rPr>
        <w:t xml:space="preserve"> </w:t>
      </w:r>
    </w:p>
    <w:sectPr w:rsidR="00800ED7" w:rsidRPr="004E4063" w:rsidSect="00E1004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62450"/>
    <w:multiLevelType w:val="hybridMultilevel"/>
    <w:tmpl w:val="15CCB69A"/>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942BB4"/>
    <w:multiLevelType w:val="hybridMultilevel"/>
    <w:tmpl w:val="B470D08C"/>
    <w:lvl w:ilvl="0" w:tplc="040C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365F25F1"/>
    <w:multiLevelType w:val="hybridMultilevel"/>
    <w:tmpl w:val="79F07954"/>
    <w:lvl w:ilvl="0" w:tplc="040C0013">
      <w:start w:val="1"/>
      <w:numFmt w:val="upperRoman"/>
      <w:lvlText w:val="%1."/>
      <w:lvlJc w:val="righ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15:restartNumberingAfterBreak="0">
    <w:nsid w:val="60DC2219"/>
    <w:multiLevelType w:val="hybridMultilevel"/>
    <w:tmpl w:val="839C949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2127504426">
    <w:abstractNumId w:val="0"/>
  </w:num>
  <w:num w:numId="2" w16cid:durableId="235743356">
    <w:abstractNumId w:val="3"/>
  </w:num>
  <w:num w:numId="3" w16cid:durableId="728769871">
    <w:abstractNumId w:val="1"/>
  </w:num>
  <w:num w:numId="4" w16cid:durableId="1386030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041"/>
    <w:rsid w:val="000863C0"/>
    <w:rsid w:val="001C37EB"/>
    <w:rsid w:val="00340CAF"/>
    <w:rsid w:val="00485ECA"/>
    <w:rsid w:val="004E4063"/>
    <w:rsid w:val="006B0147"/>
    <w:rsid w:val="007905B0"/>
    <w:rsid w:val="00800ED7"/>
    <w:rsid w:val="00946F24"/>
    <w:rsid w:val="00963D98"/>
    <w:rsid w:val="00A64AC2"/>
    <w:rsid w:val="00A75482"/>
    <w:rsid w:val="00B56A54"/>
    <w:rsid w:val="00BB0F48"/>
    <w:rsid w:val="00C5573C"/>
    <w:rsid w:val="00E10041"/>
    <w:rsid w:val="00E12F7C"/>
    <w:rsid w:val="00E82DD5"/>
    <w:rsid w:val="00FC4D22"/>
    <w:rsid w:val="00FD08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D64A1"/>
  <w15:chartTrackingRefBased/>
  <w15:docId w15:val="{88E62C35-783C-4D41-AB6C-FF295D022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10041"/>
    <w:pPr>
      <w:ind w:left="720"/>
      <w:contextualSpacing/>
    </w:pPr>
  </w:style>
  <w:style w:type="character" w:styleId="Lienhypertexte">
    <w:name w:val="Hyperlink"/>
    <w:basedOn w:val="Policepardfaut"/>
    <w:uiPriority w:val="99"/>
    <w:unhideWhenUsed/>
    <w:rsid w:val="00485ECA"/>
    <w:rPr>
      <w:color w:val="0563C1" w:themeColor="hyperlink"/>
      <w:u w:val="single"/>
    </w:rPr>
  </w:style>
  <w:style w:type="character" w:styleId="Mentionnonrsolue">
    <w:name w:val="Unresolved Mention"/>
    <w:basedOn w:val="Policepardfaut"/>
    <w:uiPriority w:val="99"/>
    <w:semiHidden/>
    <w:unhideWhenUsed/>
    <w:rsid w:val="00485ECA"/>
    <w:rPr>
      <w:color w:val="605E5C"/>
      <w:shd w:val="clear" w:color="auto" w:fill="E1DFDD"/>
    </w:rPr>
  </w:style>
  <w:style w:type="character" w:styleId="Lienhypertextesuivivisit">
    <w:name w:val="FollowedHyperlink"/>
    <w:basedOn w:val="Policepardfaut"/>
    <w:uiPriority w:val="99"/>
    <w:semiHidden/>
    <w:unhideWhenUsed/>
    <w:rsid w:val="00485ECA"/>
    <w:rPr>
      <w:color w:val="954F72" w:themeColor="followedHyperlink"/>
      <w:u w:val="single"/>
    </w:rPr>
  </w:style>
  <w:style w:type="table" w:styleId="Grilledutableau">
    <w:name w:val="Table Grid"/>
    <w:basedOn w:val="TableauNormal"/>
    <w:uiPriority w:val="39"/>
    <w:rsid w:val="00790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diagramColors" Target="diagrams/colors1.xml"/><Relationship Id="rId18" Type="http://schemas.openxmlformats.org/officeDocument/2006/relationships/hyperlink" Target="https://www.la-charte.fr/inviter-chartiste/recommandations-tarifaires/" TargetMode="External"/><Relationship Id="rId3" Type="http://schemas.openxmlformats.org/officeDocument/2006/relationships/styles" Target="styles.xml"/><Relationship Id="rId21" Type="http://schemas.openxmlformats.org/officeDocument/2006/relationships/hyperlink" Target="https://fill-livrelecture.org/wp-content/uploads/2020/02/guide_auteurs_remuneration-maj2020-jv-web.pdf" TargetMode="External"/><Relationship Id="rId7" Type="http://schemas.openxmlformats.org/officeDocument/2006/relationships/image" Target="media/image2.png"/><Relationship Id="rId12" Type="http://schemas.openxmlformats.org/officeDocument/2006/relationships/diagramQuickStyle" Target="diagrams/quickStyle1.xml"/><Relationship Id="rId17" Type="http://schemas.openxmlformats.org/officeDocument/2006/relationships/hyperlink" Target="https://www.sgdl.org/" TargetMode="External"/><Relationship Id="rId2" Type="http://schemas.openxmlformats.org/officeDocument/2006/relationships/numbering" Target="numbering.xml"/><Relationship Id="rId16" Type="http://schemas.openxmlformats.org/officeDocument/2006/relationships/hyperlink" Target="http://www.artistes-auteurs.urssaf.fr" TargetMode="External"/><Relationship Id="rId20" Type="http://schemas.openxmlformats.org/officeDocument/2006/relationships/hyperlink" Target="https://www.guso.fr/information/accuei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diagramLayout" Target="diagrams/layou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occitanielivre.fr/comment-remunerer-les-auteurs" TargetMode="External"/><Relationship Id="rId23"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hyperlink" Target="https://www.artis-bfc.fr/sites/product/files/2021-01/Fiche-remunerations.pdf" TargetMode="External"/><Relationship Id="rId4" Type="http://schemas.openxmlformats.org/officeDocument/2006/relationships/settings" Target="settings.xml"/><Relationship Id="rId9" Type="http://schemas.openxmlformats.org/officeDocument/2006/relationships/image" Target="media/image4.png"/><Relationship Id="rId14" Type="http://schemas.microsoft.com/office/2007/relationships/diagramDrawing" Target="diagrams/drawing1.xml"/><Relationship Id="rId22" Type="http://schemas.openxmlformats.org/officeDocument/2006/relationships/hyperlink" Target="https://www.sacem.fr/" TargetMode="External"/></Relationships>
</file>

<file path=word/diagrams/_rels/data1.xml.rels><?xml version="1.0" encoding="UTF-8" standalone="yes"?>
<Relationships xmlns="http://schemas.openxmlformats.org/package/2006/relationships"><Relationship Id="rId3" Type="http://schemas.openxmlformats.org/officeDocument/2006/relationships/hyperlink" Target="https://www.sgdl.org/sgdl-accueil/services-de-la-sgdl/la-remuneration/la-calculette-des-droits-d-auteurs" TargetMode="External"/><Relationship Id="rId2" Type="http://schemas.openxmlformats.org/officeDocument/2006/relationships/hyperlink" Target="https://www.sgdl.org/sgdl-accueil/services-de-la-sgdl/la-remuneration/la-note-de-droits-d-auteurs" TargetMode="External"/><Relationship Id="rId1" Type="http://schemas.openxmlformats.org/officeDocument/2006/relationships/hyperlink" Target="https://www.guso.fr/information/accueil" TargetMode="External"/></Relationships>
</file>

<file path=word/diagrams/_rels/drawing1.xml.rels><?xml version="1.0" encoding="UTF-8" standalone="yes"?>
<Relationships xmlns="http://schemas.openxmlformats.org/package/2006/relationships"><Relationship Id="rId3" Type="http://schemas.openxmlformats.org/officeDocument/2006/relationships/hyperlink" Target="https://www.guso.fr/information/accueil" TargetMode="External"/><Relationship Id="rId2" Type="http://schemas.openxmlformats.org/officeDocument/2006/relationships/hyperlink" Target="https://www.sgdl.org/sgdl-accueil/services-de-la-sgdl/la-remuneration/la-calculette-des-droits-d-auteurs" TargetMode="External"/><Relationship Id="rId1" Type="http://schemas.openxmlformats.org/officeDocument/2006/relationships/hyperlink" Target="https://www.sgdl.org/sgdl-accueil/services-de-la-sgdl/la-remuneration/la-note-de-droits-d-auteurs"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4B6814A-D0A6-4CED-A575-1D7B13CA2080}" type="doc">
      <dgm:prSet loTypeId="urn:microsoft.com/office/officeart/2008/layout/VerticalCurvedList" loCatId="list" qsTypeId="urn:microsoft.com/office/officeart/2005/8/quickstyle/simple1" qsCatId="simple" csTypeId="urn:microsoft.com/office/officeart/2005/8/colors/accent0_3" csCatId="mainScheme" phldr="1"/>
      <dgm:spPr/>
      <dgm:t>
        <a:bodyPr/>
        <a:lstStyle/>
        <a:p>
          <a:endParaRPr lang="fr-FR"/>
        </a:p>
      </dgm:t>
    </dgm:pt>
    <dgm:pt modelId="{B96DBD57-74EF-4DCD-8887-EE2AA2C0BA69}">
      <dgm:prSet phldrT="[Texte]" custT="1"/>
      <dgm:spPr/>
      <dgm:t>
        <a:bodyPr/>
        <a:lstStyle/>
        <a:p>
          <a:r>
            <a:rPr lang="fr-FR" sz="1200" b="1" u="sng" dirty="0"/>
            <a:t>RÉMUNÉRATION SUR FACTURE ET CONTRATS DE CESSION</a:t>
          </a:r>
        </a:p>
        <a:p>
          <a:r>
            <a:rPr lang="fr-FR" sz="1000" b="1" dirty="0"/>
            <a:t>Devis avec numéro de SIRET et TVA éventuelle.</a:t>
          </a:r>
        </a:p>
        <a:p>
          <a:r>
            <a:rPr lang="fr-FR" sz="1000" b="1" dirty="0"/>
            <a:t>Transmission d’un contrat de cession par le producteur à relire (vérifier notamment les conditions d’annulation) et paiement sur facture.</a:t>
          </a:r>
        </a:p>
        <a:p>
          <a:r>
            <a:rPr lang="fr-FR" sz="1000" b="1" dirty="0"/>
            <a:t>Mode de rémunération le plus courant pour un spectacle.</a:t>
          </a:r>
        </a:p>
      </dgm:t>
    </dgm:pt>
    <dgm:pt modelId="{62FCA5DF-0172-443A-AE51-FA457D38F5DB}" type="parTrans" cxnId="{E61CA135-B11B-479C-A6FF-D70114EE23F6}">
      <dgm:prSet/>
      <dgm:spPr/>
      <dgm:t>
        <a:bodyPr/>
        <a:lstStyle/>
        <a:p>
          <a:endParaRPr lang="fr-FR"/>
        </a:p>
      </dgm:t>
    </dgm:pt>
    <dgm:pt modelId="{2977E79F-8785-4AF1-AAAA-96C49A1977AD}" type="sibTrans" cxnId="{E61CA135-B11B-479C-A6FF-D70114EE23F6}">
      <dgm:prSet/>
      <dgm:spPr/>
      <dgm:t>
        <a:bodyPr/>
        <a:lstStyle/>
        <a:p>
          <a:endParaRPr lang="fr-FR"/>
        </a:p>
      </dgm:t>
    </dgm:pt>
    <dgm:pt modelId="{89608683-1F21-477F-B1E7-B11E73821084}">
      <dgm:prSet phldrT="[Texte]" custT="1"/>
      <dgm:spPr/>
      <dgm:t>
        <a:bodyPr/>
        <a:lstStyle/>
        <a:p>
          <a:endParaRPr lang="fr-FR" sz="1200" b="1" u="sng" dirty="0"/>
        </a:p>
        <a:p>
          <a:r>
            <a:rPr lang="fr-FR" sz="1200" b="1" u="sng" dirty="0"/>
            <a:t>RÉMUNÉRATION SOUS FORME DE SALARIAT</a:t>
          </a:r>
        </a:p>
        <a:p>
          <a:r>
            <a:rPr lang="fr-FR" sz="1000" b="1" u="none" dirty="0"/>
            <a:t>La rémunération par salariat induit la rédaction d’un contrat de travail pour l’employeur (CDD). Toutes les charges (patronales et salariales) lui incombent alors – et il doit respecter les conventions collectives. Le dispositif </a:t>
          </a:r>
          <a:r>
            <a:rPr lang="fr-FR" sz="1000" b="1" u="none" dirty="0">
              <a:solidFill>
                <a:schemeClr val="bg1"/>
              </a:solidFill>
              <a:hlinkClick xmlns:r="http://schemas.openxmlformats.org/officeDocument/2006/relationships" r:id="rId1">
                <a:extLst>
                  <a:ext uri="{A12FA001-AC4F-418D-AE19-62706E023703}">
                    <ahyp:hlinkClr xmlns:ahyp="http://schemas.microsoft.com/office/drawing/2018/hyperlinkcolor" val="tx"/>
                  </a:ext>
                </a:extLst>
              </a:hlinkClick>
            </a:rPr>
            <a:t>GUSO</a:t>
          </a:r>
          <a:r>
            <a:rPr lang="fr-FR" sz="1000" b="1" u="none" dirty="0">
              <a:solidFill>
                <a:schemeClr val="bg1"/>
              </a:solidFill>
            </a:rPr>
            <a:t> </a:t>
          </a:r>
          <a:r>
            <a:rPr lang="fr-FR" sz="1000" b="1" u="none" dirty="0"/>
            <a:t>(Guichet Unique du Spectacle Occasionnel) facilite les démarches. </a:t>
          </a:r>
        </a:p>
        <a:p>
          <a:r>
            <a:rPr lang="fr-FR" sz="1000" b="1" u="none" dirty="0"/>
            <a:t>Si vous vous trouvez dans ce cas de figure, rapprochez-vous du service RH de votre collectivité.</a:t>
          </a:r>
        </a:p>
        <a:p>
          <a:endParaRPr lang="fr-FR" sz="1000" b="1" u="none" dirty="0"/>
        </a:p>
      </dgm:t>
    </dgm:pt>
    <dgm:pt modelId="{34D3874A-0AA9-4287-954B-92B920199E30}" type="parTrans" cxnId="{FE166D21-D664-4A51-8ADC-0AEFBE611BF7}">
      <dgm:prSet/>
      <dgm:spPr/>
      <dgm:t>
        <a:bodyPr/>
        <a:lstStyle/>
        <a:p>
          <a:endParaRPr lang="fr-FR"/>
        </a:p>
      </dgm:t>
    </dgm:pt>
    <dgm:pt modelId="{77D2CB8F-A1BE-4BF3-BCD5-294B636C655C}" type="sibTrans" cxnId="{FE166D21-D664-4A51-8ADC-0AEFBE611BF7}">
      <dgm:prSet/>
      <dgm:spPr/>
      <dgm:t>
        <a:bodyPr/>
        <a:lstStyle/>
        <a:p>
          <a:endParaRPr lang="fr-FR"/>
        </a:p>
      </dgm:t>
    </dgm:pt>
    <dgm:pt modelId="{1BDD6DEB-C008-49A9-9696-D66B38DC6F04}">
      <dgm:prSet custT="1"/>
      <dgm:spPr/>
      <dgm:t>
        <a:bodyPr/>
        <a:lstStyle/>
        <a:p>
          <a:endParaRPr lang="fr-FR" sz="1200" b="1" u="sng" dirty="0"/>
        </a:p>
        <a:p>
          <a:endParaRPr lang="fr-FR" sz="800" b="1" u="sng" dirty="0"/>
        </a:p>
        <a:p>
          <a:r>
            <a:rPr lang="fr-FR" sz="1200" b="1" u="sng" dirty="0"/>
            <a:t>RÉMUNÉRATION SOUS FORME DE DROITS D’AUTEUR</a:t>
          </a:r>
        </a:p>
        <a:p>
          <a:r>
            <a:rPr lang="fr-FR" sz="1000" b="1" dirty="0"/>
            <a:t>Un auteur cède ses droits patrimoniaux sur une œuvre pour l’exploitation par une bibliothèque. Il s’agit des revenus issus de la création, l’utilisation, la diffusion d’une œuvre (une lecture publique par exemple). Lauteur doit fournir une note de droits d'auteur et deux situations sont alors possibles :</a:t>
          </a:r>
        </a:p>
        <a:p>
          <a:r>
            <a:rPr lang="fr-FR" sz="1000" b="1" dirty="0"/>
            <a:t>=&gt; Soit l'auteur est dispensé de précompte. Il doit l'indiquer sur sa note et fournir une attestation de dispense. L'employeur ne déclare sur le site de l'URSSAF qu'une partie des charges (1,10 % de contributions diffuseur).</a:t>
          </a:r>
        </a:p>
        <a:p>
          <a:r>
            <a:rPr lang="fr-FR" sz="1000" b="1" dirty="0"/>
            <a:t>=&gt; Soit l'auteur est précompté et le précompte est à calculer.</a:t>
          </a:r>
        </a:p>
        <a:p>
          <a:r>
            <a:rPr lang="fr-FR" sz="1000" b="1" dirty="0">
              <a:solidFill>
                <a:schemeClr val="bg1"/>
              </a:solidFill>
            </a:rPr>
            <a:t> La Société des Gens de Lettres (SGDL) propose sur son site des </a:t>
          </a:r>
          <a:r>
            <a:rPr lang="fr-FR" sz="1000" b="1" dirty="0">
              <a:solidFill>
                <a:schemeClr val="bg1"/>
              </a:solidFill>
              <a:hlinkClick xmlns:r="http://schemas.openxmlformats.org/officeDocument/2006/relationships" r:id="rId2">
                <a:extLst>
                  <a:ext uri="{A12FA001-AC4F-418D-AE19-62706E023703}">
                    <ahyp:hlinkClr xmlns:ahyp="http://schemas.microsoft.com/office/drawing/2018/hyperlinkcolor" val="tx"/>
                  </a:ext>
                </a:extLst>
              </a:hlinkClick>
            </a:rPr>
            <a:t>modèles de notes </a:t>
          </a:r>
          <a:r>
            <a:rPr lang="fr-FR" sz="1000" b="1" dirty="0">
              <a:solidFill>
                <a:schemeClr val="bg1"/>
              </a:solidFill>
            </a:rPr>
            <a:t>et une </a:t>
          </a:r>
          <a:r>
            <a:rPr lang="fr-FR" sz="1000" b="1" dirty="0">
              <a:solidFill>
                <a:schemeClr val="bg1"/>
              </a:solidFill>
              <a:hlinkClick xmlns:r="http://schemas.openxmlformats.org/officeDocument/2006/relationships" r:id="rId3">
                <a:extLst>
                  <a:ext uri="{A12FA001-AC4F-418D-AE19-62706E023703}">
                    <ahyp:hlinkClr xmlns:ahyp="http://schemas.microsoft.com/office/drawing/2018/hyperlinkcolor" val="tx"/>
                  </a:ext>
                </a:extLst>
              </a:hlinkClick>
            </a:rPr>
            <a:t>calculette en ligne </a:t>
          </a:r>
          <a:r>
            <a:rPr lang="fr-FR" sz="1000" b="1" dirty="0">
              <a:solidFill>
                <a:schemeClr val="bg1"/>
              </a:solidFill>
            </a:rPr>
            <a:t>pour le détail des retenues sociales. </a:t>
          </a:r>
        </a:p>
        <a:p>
          <a:r>
            <a:rPr lang="fr-FR" sz="1000" b="1" dirty="0">
              <a:solidFill>
                <a:schemeClr val="bg1"/>
              </a:solidFill>
            </a:rPr>
            <a:t>Paiement nécessaire auprès de l’URSSAF Limousin et fourniture à l’auteur d’un certificat de précompte généré par l’URSSAF. Il faut également déclarer auprès de l’URSSAF le statut de l’auteur.  </a:t>
          </a:r>
        </a:p>
        <a:p>
          <a:endParaRPr lang="fr-FR" sz="1000" b="0" dirty="0"/>
        </a:p>
        <a:p>
          <a:endParaRPr lang="fr-FR" sz="1000" b="0" dirty="0"/>
        </a:p>
      </dgm:t>
    </dgm:pt>
    <dgm:pt modelId="{7F7A6DC9-D9E0-4ECD-8B23-350E0D2999DB}" type="parTrans" cxnId="{682110E5-EFD9-4987-BA36-CE74C8581991}">
      <dgm:prSet/>
      <dgm:spPr/>
      <dgm:t>
        <a:bodyPr/>
        <a:lstStyle/>
        <a:p>
          <a:endParaRPr lang="fr-FR"/>
        </a:p>
      </dgm:t>
    </dgm:pt>
    <dgm:pt modelId="{49F8C53D-054E-4DFC-885C-B9B481394D87}" type="sibTrans" cxnId="{682110E5-EFD9-4987-BA36-CE74C8581991}">
      <dgm:prSet/>
      <dgm:spPr/>
      <dgm:t>
        <a:bodyPr/>
        <a:lstStyle/>
        <a:p>
          <a:endParaRPr lang="fr-FR"/>
        </a:p>
      </dgm:t>
    </dgm:pt>
    <dgm:pt modelId="{10137753-016F-426A-BCE0-71BFEF3E4400}">
      <dgm:prSet custT="1"/>
      <dgm:spPr/>
      <dgm:t>
        <a:bodyPr/>
        <a:lstStyle/>
        <a:p>
          <a:endParaRPr lang="fr-FR" sz="1200" b="1" u="sng" dirty="0"/>
        </a:p>
        <a:p>
          <a:r>
            <a:rPr lang="fr-FR" sz="1200" b="1" u="sng" dirty="0"/>
            <a:t>RÉMUNÉRATION SOUS FORME D’HONORAIRES</a:t>
          </a:r>
        </a:p>
        <a:p>
          <a:r>
            <a:rPr lang="fr-FR" sz="1000" b="1" dirty="0"/>
            <a:t>Si l’intervenant relève du statut de travailleur indépendant et possède un numéro de SIRET, il peut être rémunéré sous forme d’honoraires en fournissant à la structure qui l’emploie une note d’honoraires.  </a:t>
          </a:r>
        </a:p>
        <a:p>
          <a:endParaRPr lang="fr-FR" sz="1600" b="1" dirty="0"/>
        </a:p>
      </dgm:t>
    </dgm:pt>
    <dgm:pt modelId="{2A90162B-54D8-47A7-AF73-C43A111B199D}" type="parTrans" cxnId="{EBFF5FCC-BCB7-49CD-AE63-8359CBEEDC06}">
      <dgm:prSet/>
      <dgm:spPr/>
      <dgm:t>
        <a:bodyPr/>
        <a:lstStyle/>
        <a:p>
          <a:endParaRPr lang="fr-FR"/>
        </a:p>
      </dgm:t>
    </dgm:pt>
    <dgm:pt modelId="{287DA51D-424A-4957-875A-743798E3B99B}" type="sibTrans" cxnId="{EBFF5FCC-BCB7-49CD-AE63-8359CBEEDC06}">
      <dgm:prSet/>
      <dgm:spPr/>
      <dgm:t>
        <a:bodyPr/>
        <a:lstStyle/>
        <a:p>
          <a:endParaRPr lang="fr-FR"/>
        </a:p>
      </dgm:t>
    </dgm:pt>
    <dgm:pt modelId="{17E8E7BE-E1A4-4085-BCE6-CF7A74B88384}" type="pres">
      <dgm:prSet presAssocID="{A4B6814A-D0A6-4CED-A575-1D7B13CA2080}" presName="Name0" presStyleCnt="0">
        <dgm:presLayoutVars>
          <dgm:chMax val="7"/>
          <dgm:chPref val="7"/>
          <dgm:dir/>
        </dgm:presLayoutVars>
      </dgm:prSet>
      <dgm:spPr/>
    </dgm:pt>
    <dgm:pt modelId="{A5513D03-9115-4FF6-9C0A-598D68736B13}" type="pres">
      <dgm:prSet presAssocID="{A4B6814A-D0A6-4CED-A575-1D7B13CA2080}" presName="Name1" presStyleCnt="0"/>
      <dgm:spPr/>
    </dgm:pt>
    <dgm:pt modelId="{8D27AC37-FA48-4A99-B7A3-4151F1D96AF3}" type="pres">
      <dgm:prSet presAssocID="{A4B6814A-D0A6-4CED-A575-1D7B13CA2080}" presName="cycle" presStyleCnt="0"/>
      <dgm:spPr/>
    </dgm:pt>
    <dgm:pt modelId="{D3301A4A-C267-4157-BD88-4C4C741E0211}" type="pres">
      <dgm:prSet presAssocID="{A4B6814A-D0A6-4CED-A575-1D7B13CA2080}" presName="srcNode" presStyleLbl="node1" presStyleIdx="0" presStyleCnt="4"/>
      <dgm:spPr/>
    </dgm:pt>
    <dgm:pt modelId="{F6138320-6910-4DAD-BC12-310B19DA11AF}" type="pres">
      <dgm:prSet presAssocID="{A4B6814A-D0A6-4CED-A575-1D7B13CA2080}" presName="conn" presStyleLbl="parChTrans1D2" presStyleIdx="0" presStyleCnt="1"/>
      <dgm:spPr/>
    </dgm:pt>
    <dgm:pt modelId="{826F863A-1D69-4F7F-8182-59385301BCCC}" type="pres">
      <dgm:prSet presAssocID="{A4B6814A-D0A6-4CED-A575-1D7B13CA2080}" presName="extraNode" presStyleLbl="node1" presStyleIdx="0" presStyleCnt="4"/>
      <dgm:spPr/>
    </dgm:pt>
    <dgm:pt modelId="{1E9E83D1-CBB7-420D-A0DF-B029B7C3BCF4}" type="pres">
      <dgm:prSet presAssocID="{A4B6814A-D0A6-4CED-A575-1D7B13CA2080}" presName="dstNode" presStyleLbl="node1" presStyleIdx="0" presStyleCnt="4"/>
      <dgm:spPr/>
    </dgm:pt>
    <dgm:pt modelId="{F1243BCA-8F2C-479E-9D2C-48A5D9BFA554}" type="pres">
      <dgm:prSet presAssocID="{B96DBD57-74EF-4DCD-8887-EE2AA2C0BA69}" presName="text_1" presStyleLbl="node1" presStyleIdx="0" presStyleCnt="4" custScaleY="112227" custLinFactNeighborX="-2648" custLinFactNeighborY="-35558">
        <dgm:presLayoutVars>
          <dgm:bulletEnabled val="1"/>
        </dgm:presLayoutVars>
      </dgm:prSet>
      <dgm:spPr/>
    </dgm:pt>
    <dgm:pt modelId="{46A2BAF8-7AD8-415A-A2B9-5F0152D1440E}" type="pres">
      <dgm:prSet presAssocID="{B96DBD57-74EF-4DCD-8887-EE2AA2C0BA69}" presName="accent_1" presStyleCnt="0"/>
      <dgm:spPr/>
    </dgm:pt>
    <dgm:pt modelId="{26C42A27-9399-4433-91EF-25F6DEAE22BF}" type="pres">
      <dgm:prSet presAssocID="{B96DBD57-74EF-4DCD-8887-EE2AA2C0BA69}" presName="accentRepeatNode" presStyleLbl="solidFgAcc1" presStyleIdx="0" presStyleCnt="4" custScaleX="79631" custScaleY="91868" custLinFactNeighborX="-23586" custLinFactNeighborY="-27430"/>
      <dgm:spPr/>
    </dgm:pt>
    <dgm:pt modelId="{11A89483-A6F7-4750-AE51-E2161448763A}" type="pres">
      <dgm:prSet presAssocID="{10137753-016F-426A-BCE0-71BFEF3E4400}" presName="text_2" presStyleLbl="node1" presStyleIdx="1" presStyleCnt="4" custScaleX="101631" custScaleY="94902" custLinFactNeighborX="-2335" custLinFactNeighborY="-66326">
        <dgm:presLayoutVars>
          <dgm:bulletEnabled val="1"/>
        </dgm:presLayoutVars>
      </dgm:prSet>
      <dgm:spPr/>
    </dgm:pt>
    <dgm:pt modelId="{691EE00E-B94E-4205-8EAB-333E90D9B7FB}" type="pres">
      <dgm:prSet presAssocID="{10137753-016F-426A-BCE0-71BFEF3E4400}" presName="accent_2" presStyleCnt="0"/>
      <dgm:spPr/>
    </dgm:pt>
    <dgm:pt modelId="{41DF4784-0250-47FC-8EDB-122BA23A5C4B}" type="pres">
      <dgm:prSet presAssocID="{10137753-016F-426A-BCE0-71BFEF3E4400}" presName="accentRepeatNode" presStyleLbl="solidFgAcc1" presStyleIdx="1" presStyleCnt="4" custScaleX="73021" custScaleY="79472" custLinFactNeighborX="-14086" custLinFactNeighborY="-54077"/>
      <dgm:spPr/>
    </dgm:pt>
    <dgm:pt modelId="{28F5DFF8-8837-4195-8815-C0D208009D13}" type="pres">
      <dgm:prSet presAssocID="{1BDD6DEB-C008-49A9-9696-D66B38DC6F04}" presName="text_3" presStyleLbl="node1" presStyleIdx="2" presStyleCnt="4" custScaleX="100081" custScaleY="251450" custLinFactNeighborX="972" custLinFactNeighborY="-27938">
        <dgm:presLayoutVars>
          <dgm:bulletEnabled val="1"/>
        </dgm:presLayoutVars>
      </dgm:prSet>
      <dgm:spPr/>
    </dgm:pt>
    <dgm:pt modelId="{5E38FEC4-A88D-413F-AAA6-E36B0EF7B95B}" type="pres">
      <dgm:prSet presAssocID="{1BDD6DEB-C008-49A9-9696-D66B38DC6F04}" presName="accent_3" presStyleCnt="0"/>
      <dgm:spPr/>
    </dgm:pt>
    <dgm:pt modelId="{3B782175-2263-4B63-B00C-A902769A1668}" type="pres">
      <dgm:prSet presAssocID="{1BDD6DEB-C008-49A9-9696-D66B38DC6F04}" presName="accentRepeatNode" presStyleLbl="solidFgAcc1" presStyleIdx="2" presStyleCnt="4" custScaleX="103434" custScaleY="201160" custLinFactNeighborX="5079" custLinFactNeighborY="-24382"/>
      <dgm:spPr/>
    </dgm:pt>
    <dgm:pt modelId="{E594305C-4740-4233-BA50-35876709485C}" type="pres">
      <dgm:prSet presAssocID="{89608683-1F21-477F-B1E7-B11E73821084}" presName="text_4" presStyleLbl="node1" presStyleIdx="3" presStyleCnt="4" custScaleX="99873" custScaleY="135552" custLinFactNeighborX="-2564" custLinFactNeighborY="30769">
        <dgm:presLayoutVars>
          <dgm:bulletEnabled val="1"/>
        </dgm:presLayoutVars>
      </dgm:prSet>
      <dgm:spPr/>
    </dgm:pt>
    <dgm:pt modelId="{0EB98CD6-5095-4A67-9699-E2082C55337B}" type="pres">
      <dgm:prSet presAssocID="{89608683-1F21-477F-B1E7-B11E73821084}" presName="accent_4" presStyleCnt="0"/>
      <dgm:spPr/>
    </dgm:pt>
    <dgm:pt modelId="{A3757504-4E31-4BB6-A41C-AA8F5ED64D3F}" type="pres">
      <dgm:prSet presAssocID="{89608683-1F21-477F-B1E7-B11E73821084}" presName="accentRepeatNode" presStyleLbl="solidFgAcc1" presStyleIdx="3" presStyleCnt="4" custScaleX="60618" custScaleY="110196" custLinFactNeighborX="-14547" custLinFactNeighborY="26508"/>
      <dgm:spPr/>
    </dgm:pt>
  </dgm:ptLst>
  <dgm:cxnLst>
    <dgm:cxn modelId="{DEFED00F-C5B2-4EA8-B8D1-8538DB322A6C}" type="presOf" srcId="{2977E79F-8785-4AF1-AAAA-96C49A1977AD}" destId="{F6138320-6910-4DAD-BC12-310B19DA11AF}" srcOrd="0" destOrd="0" presId="urn:microsoft.com/office/officeart/2008/layout/VerticalCurvedList"/>
    <dgm:cxn modelId="{098F4517-96E2-4519-9EF0-CF748120E031}" type="presOf" srcId="{B96DBD57-74EF-4DCD-8887-EE2AA2C0BA69}" destId="{F1243BCA-8F2C-479E-9D2C-48A5D9BFA554}" srcOrd="0" destOrd="0" presId="urn:microsoft.com/office/officeart/2008/layout/VerticalCurvedList"/>
    <dgm:cxn modelId="{3574701D-757D-4751-8D9E-C18F69C92180}" type="presOf" srcId="{10137753-016F-426A-BCE0-71BFEF3E4400}" destId="{11A89483-A6F7-4750-AE51-E2161448763A}" srcOrd="0" destOrd="0" presId="urn:microsoft.com/office/officeart/2008/layout/VerticalCurvedList"/>
    <dgm:cxn modelId="{FE166D21-D664-4A51-8ADC-0AEFBE611BF7}" srcId="{A4B6814A-D0A6-4CED-A575-1D7B13CA2080}" destId="{89608683-1F21-477F-B1E7-B11E73821084}" srcOrd="3" destOrd="0" parTransId="{34D3874A-0AA9-4287-954B-92B920199E30}" sibTransId="{77D2CB8F-A1BE-4BF3-BCD5-294B636C655C}"/>
    <dgm:cxn modelId="{E61CA135-B11B-479C-A6FF-D70114EE23F6}" srcId="{A4B6814A-D0A6-4CED-A575-1D7B13CA2080}" destId="{B96DBD57-74EF-4DCD-8887-EE2AA2C0BA69}" srcOrd="0" destOrd="0" parTransId="{62FCA5DF-0172-443A-AE51-FA457D38F5DB}" sibTransId="{2977E79F-8785-4AF1-AAAA-96C49A1977AD}"/>
    <dgm:cxn modelId="{B6D58939-CE03-488C-8007-9776EBE29639}" type="presOf" srcId="{1BDD6DEB-C008-49A9-9696-D66B38DC6F04}" destId="{28F5DFF8-8837-4195-8815-C0D208009D13}" srcOrd="0" destOrd="0" presId="urn:microsoft.com/office/officeart/2008/layout/VerticalCurvedList"/>
    <dgm:cxn modelId="{D70C0248-3D85-43BC-90F9-A2E32F1F1C0C}" type="presOf" srcId="{A4B6814A-D0A6-4CED-A575-1D7B13CA2080}" destId="{17E8E7BE-E1A4-4085-BCE6-CF7A74B88384}" srcOrd="0" destOrd="0" presId="urn:microsoft.com/office/officeart/2008/layout/VerticalCurvedList"/>
    <dgm:cxn modelId="{6C82BBA3-1A5A-4884-BE4C-13CFB21925E8}" type="presOf" srcId="{89608683-1F21-477F-B1E7-B11E73821084}" destId="{E594305C-4740-4233-BA50-35876709485C}" srcOrd="0" destOrd="0" presId="urn:microsoft.com/office/officeart/2008/layout/VerticalCurvedList"/>
    <dgm:cxn modelId="{EBFF5FCC-BCB7-49CD-AE63-8359CBEEDC06}" srcId="{A4B6814A-D0A6-4CED-A575-1D7B13CA2080}" destId="{10137753-016F-426A-BCE0-71BFEF3E4400}" srcOrd="1" destOrd="0" parTransId="{2A90162B-54D8-47A7-AF73-C43A111B199D}" sibTransId="{287DA51D-424A-4957-875A-743798E3B99B}"/>
    <dgm:cxn modelId="{682110E5-EFD9-4987-BA36-CE74C8581991}" srcId="{A4B6814A-D0A6-4CED-A575-1D7B13CA2080}" destId="{1BDD6DEB-C008-49A9-9696-D66B38DC6F04}" srcOrd="2" destOrd="0" parTransId="{7F7A6DC9-D9E0-4ECD-8B23-350E0D2999DB}" sibTransId="{49F8C53D-054E-4DFC-885C-B9B481394D87}"/>
    <dgm:cxn modelId="{D9C440C2-57F3-44D7-B2D5-01B83C740D1E}" type="presParOf" srcId="{17E8E7BE-E1A4-4085-BCE6-CF7A74B88384}" destId="{A5513D03-9115-4FF6-9C0A-598D68736B13}" srcOrd="0" destOrd="0" presId="urn:microsoft.com/office/officeart/2008/layout/VerticalCurvedList"/>
    <dgm:cxn modelId="{729129F4-62AF-44E0-BF6E-E21B5D835059}" type="presParOf" srcId="{A5513D03-9115-4FF6-9C0A-598D68736B13}" destId="{8D27AC37-FA48-4A99-B7A3-4151F1D96AF3}" srcOrd="0" destOrd="0" presId="urn:microsoft.com/office/officeart/2008/layout/VerticalCurvedList"/>
    <dgm:cxn modelId="{53805A7E-AC6C-4C6B-9E73-B29AF58EF351}" type="presParOf" srcId="{8D27AC37-FA48-4A99-B7A3-4151F1D96AF3}" destId="{D3301A4A-C267-4157-BD88-4C4C741E0211}" srcOrd="0" destOrd="0" presId="urn:microsoft.com/office/officeart/2008/layout/VerticalCurvedList"/>
    <dgm:cxn modelId="{F1F525D9-2832-46C5-B45F-609DD74DE09C}" type="presParOf" srcId="{8D27AC37-FA48-4A99-B7A3-4151F1D96AF3}" destId="{F6138320-6910-4DAD-BC12-310B19DA11AF}" srcOrd="1" destOrd="0" presId="urn:microsoft.com/office/officeart/2008/layout/VerticalCurvedList"/>
    <dgm:cxn modelId="{93D2E79A-20D5-4434-A0A0-192C16EBD021}" type="presParOf" srcId="{8D27AC37-FA48-4A99-B7A3-4151F1D96AF3}" destId="{826F863A-1D69-4F7F-8182-59385301BCCC}" srcOrd="2" destOrd="0" presId="urn:microsoft.com/office/officeart/2008/layout/VerticalCurvedList"/>
    <dgm:cxn modelId="{C0306A48-15CF-496F-A08A-18AD50BF907E}" type="presParOf" srcId="{8D27AC37-FA48-4A99-B7A3-4151F1D96AF3}" destId="{1E9E83D1-CBB7-420D-A0DF-B029B7C3BCF4}" srcOrd="3" destOrd="0" presId="urn:microsoft.com/office/officeart/2008/layout/VerticalCurvedList"/>
    <dgm:cxn modelId="{33AA52B0-33FB-4141-A1B5-D1BC297A20A3}" type="presParOf" srcId="{A5513D03-9115-4FF6-9C0A-598D68736B13}" destId="{F1243BCA-8F2C-479E-9D2C-48A5D9BFA554}" srcOrd="1" destOrd="0" presId="urn:microsoft.com/office/officeart/2008/layout/VerticalCurvedList"/>
    <dgm:cxn modelId="{E516C68B-7B74-4024-8306-A3479A87EC91}" type="presParOf" srcId="{A5513D03-9115-4FF6-9C0A-598D68736B13}" destId="{46A2BAF8-7AD8-415A-A2B9-5F0152D1440E}" srcOrd="2" destOrd="0" presId="urn:microsoft.com/office/officeart/2008/layout/VerticalCurvedList"/>
    <dgm:cxn modelId="{EA143CC5-5FBD-4755-ACEC-834ED004636A}" type="presParOf" srcId="{46A2BAF8-7AD8-415A-A2B9-5F0152D1440E}" destId="{26C42A27-9399-4433-91EF-25F6DEAE22BF}" srcOrd="0" destOrd="0" presId="urn:microsoft.com/office/officeart/2008/layout/VerticalCurvedList"/>
    <dgm:cxn modelId="{541A6642-53E3-46A0-AB3B-45A0BBCBCCCE}" type="presParOf" srcId="{A5513D03-9115-4FF6-9C0A-598D68736B13}" destId="{11A89483-A6F7-4750-AE51-E2161448763A}" srcOrd="3" destOrd="0" presId="urn:microsoft.com/office/officeart/2008/layout/VerticalCurvedList"/>
    <dgm:cxn modelId="{49FB8A4C-77B3-421A-AA07-4DAB00631793}" type="presParOf" srcId="{A5513D03-9115-4FF6-9C0A-598D68736B13}" destId="{691EE00E-B94E-4205-8EAB-333E90D9B7FB}" srcOrd="4" destOrd="0" presId="urn:microsoft.com/office/officeart/2008/layout/VerticalCurvedList"/>
    <dgm:cxn modelId="{C85DCB6F-4C5E-4CF6-8970-46ADA064C6E8}" type="presParOf" srcId="{691EE00E-B94E-4205-8EAB-333E90D9B7FB}" destId="{41DF4784-0250-47FC-8EDB-122BA23A5C4B}" srcOrd="0" destOrd="0" presId="urn:microsoft.com/office/officeart/2008/layout/VerticalCurvedList"/>
    <dgm:cxn modelId="{D21AF199-2497-4B2A-8A07-EB98ECFD26E3}" type="presParOf" srcId="{A5513D03-9115-4FF6-9C0A-598D68736B13}" destId="{28F5DFF8-8837-4195-8815-C0D208009D13}" srcOrd="5" destOrd="0" presId="urn:microsoft.com/office/officeart/2008/layout/VerticalCurvedList"/>
    <dgm:cxn modelId="{6B5B9D5A-93A8-4B6E-AF14-530FA19FA3ED}" type="presParOf" srcId="{A5513D03-9115-4FF6-9C0A-598D68736B13}" destId="{5E38FEC4-A88D-413F-AAA6-E36B0EF7B95B}" srcOrd="6" destOrd="0" presId="urn:microsoft.com/office/officeart/2008/layout/VerticalCurvedList"/>
    <dgm:cxn modelId="{D81E47AE-1A42-49B3-8562-C2E4BA964842}" type="presParOf" srcId="{5E38FEC4-A88D-413F-AAA6-E36B0EF7B95B}" destId="{3B782175-2263-4B63-B00C-A902769A1668}" srcOrd="0" destOrd="0" presId="urn:microsoft.com/office/officeart/2008/layout/VerticalCurvedList"/>
    <dgm:cxn modelId="{65C0F658-4EEA-4C8B-96B6-86DD1EF5D6BB}" type="presParOf" srcId="{A5513D03-9115-4FF6-9C0A-598D68736B13}" destId="{E594305C-4740-4233-BA50-35876709485C}" srcOrd="7" destOrd="0" presId="urn:microsoft.com/office/officeart/2008/layout/VerticalCurvedList"/>
    <dgm:cxn modelId="{8BFA7564-79C5-4B37-BEF3-611BEECACFDA}" type="presParOf" srcId="{A5513D03-9115-4FF6-9C0A-598D68736B13}" destId="{0EB98CD6-5095-4A67-9699-E2082C55337B}" srcOrd="8" destOrd="0" presId="urn:microsoft.com/office/officeart/2008/layout/VerticalCurvedList"/>
    <dgm:cxn modelId="{841189B3-2514-4CA8-B730-65D34EF91BBA}" type="presParOf" srcId="{0EB98CD6-5095-4A67-9699-E2082C55337B}" destId="{A3757504-4E31-4BB6-A41C-AA8F5ED64D3F}" srcOrd="0" destOrd="0" presId="urn:microsoft.com/office/officeart/2008/layout/VerticalCurvedLis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138320-6910-4DAD-BC12-310B19DA11AF}">
      <dsp:nvSpPr>
        <dsp:cNvPr id="0" name=""/>
        <dsp:cNvSpPr/>
      </dsp:nvSpPr>
      <dsp:spPr>
        <a:xfrm>
          <a:off x="-5544471" y="-843991"/>
          <a:ext cx="6563512" cy="6563512"/>
        </a:xfrm>
        <a:prstGeom prst="blockArc">
          <a:avLst>
            <a:gd name="adj1" fmla="val 18900000"/>
            <a:gd name="adj2" fmla="val 2700000"/>
            <a:gd name="adj3" fmla="val 329"/>
          </a:avLst>
        </a:pr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243BCA-8F2C-479E-9D2C-48A5D9BFA554}">
      <dsp:nvSpPr>
        <dsp:cNvPr id="0" name=""/>
        <dsp:cNvSpPr/>
      </dsp:nvSpPr>
      <dsp:spPr>
        <a:xfrm>
          <a:off x="299124" y="62273"/>
          <a:ext cx="8274322" cy="84176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95353" tIns="30480" rIns="30480" bIns="30480" numCol="1" spcCol="1270" anchor="ctr" anchorCtr="0">
          <a:noAutofit/>
        </a:bodyPr>
        <a:lstStyle/>
        <a:p>
          <a:pPr marL="0" lvl="0" indent="0" algn="l" defTabSz="533400">
            <a:lnSpc>
              <a:spcPct val="90000"/>
            </a:lnSpc>
            <a:spcBef>
              <a:spcPct val="0"/>
            </a:spcBef>
            <a:spcAft>
              <a:spcPct val="35000"/>
            </a:spcAft>
            <a:buNone/>
          </a:pPr>
          <a:r>
            <a:rPr lang="fr-FR" sz="1200" b="1" u="sng" kern="1200" dirty="0"/>
            <a:t>RÉMUNÉRATION SUR FACTURE ET CONTRATS DE CESSION</a:t>
          </a:r>
        </a:p>
        <a:p>
          <a:pPr marL="0" lvl="0" indent="0" algn="l" defTabSz="533400">
            <a:lnSpc>
              <a:spcPct val="90000"/>
            </a:lnSpc>
            <a:spcBef>
              <a:spcPct val="0"/>
            </a:spcBef>
            <a:spcAft>
              <a:spcPct val="35000"/>
            </a:spcAft>
            <a:buNone/>
          </a:pPr>
          <a:r>
            <a:rPr lang="fr-FR" sz="1000" b="1" kern="1200" dirty="0"/>
            <a:t>Devis avec numéro de SIRET et TVA éventuelle.</a:t>
          </a:r>
        </a:p>
        <a:p>
          <a:pPr marL="0" lvl="0" indent="0" algn="l" defTabSz="533400">
            <a:lnSpc>
              <a:spcPct val="90000"/>
            </a:lnSpc>
            <a:spcBef>
              <a:spcPct val="0"/>
            </a:spcBef>
            <a:spcAft>
              <a:spcPct val="35000"/>
            </a:spcAft>
            <a:buNone/>
          </a:pPr>
          <a:r>
            <a:rPr lang="fr-FR" sz="1000" b="1" kern="1200" dirty="0"/>
            <a:t>Transmission d’un contrat de cession par le producteur à relire (vérifier notamment les conditions d’annulation) et paiement sur facture.</a:t>
          </a:r>
        </a:p>
        <a:p>
          <a:pPr marL="0" lvl="0" indent="0" algn="l" defTabSz="533400">
            <a:lnSpc>
              <a:spcPct val="90000"/>
            </a:lnSpc>
            <a:spcBef>
              <a:spcPct val="0"/>
            </a:spcBef>
            <a:spcAft>
              <a:spcPct val="35000"/>
            </a:spcAft>
            <a:buNone/>
          </a:pPr>
          <a:r>
            <a:rPr lang="fr-FR" sz="1000" b="1" kern="1200" dirty="0"/>
            <a:t>Mode de rémunération le plus courant pour un spectacle.</a:t>
          </a:r>
        </a:p>
      </dsp:txBody>
      <dsp:txXfrm>
        <a:off x="299124" y="62273"/>
        <a:ext cx="8274322" cy="841760"/>
      </dsp:txXfrm>
    </dsp:sp>
    <dsp:sp modelId="{26C42A27-9399-4433-91EF-25F6DEAE22BF}">
      <dsp:nvSpPr>
        <dsp:cNvPr id="0" name=""/>
        <dsp:cNvSpPr/>
      </dsp:nvSpPr>
      <dsp:spPr>
        <a:xfrm>
          <a:off x="0" y="62021"/>
          <a:ext cx="746591" cy="861321"/>
        </a:xfrm>
        <a:prstGeom prst="ellipse">
          <a:avLst/>
        </a:prstGeom>
        <a:solidFill>
          <a:schemeClr val="lt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1A89483-A6F7-4750-AE51-E2161448763A}">
      <dsp:nvSpPr>
        <dsp:cNvPr id="0" name=""/>
        <dsp:cNvSpPr/>
      </dsp:nvSpPr>
      <dsp:spPr>
        <a:xfrm>
          <a:off x="701115" y="1021742"/>
          <a:ext cx="7972241" cy="71181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95353" tIns="30480" rIns="30480" bIns="30480" numCol="1" spcCol="1270" anchor="ctr" anchorCtr="0">
          <a:noAutofit/>
        </a:bodyPr>
        <a:lstStyle/>
        <a:p>
          <a:pPr marL="0" lvl="0" indent="0" algn="l" defTabSz="533400">
            <a:lnSpc>
              <a:spcPct val="90000"/>
            </a:lnSpc>
            <a:spcBef>
              <a:spcPct val="0"/>
            </a:spcBef>
            <a:spcAft>
              <a:spcPct val="35000"/>
            </a:spcAft>
            <a:buNone/>
          </a:pPr>
          <a:endParaRPr lang="fr-FR" sz="1200" b="1" u="sng" kern="1200" dirty="0"/>
        </a:p>
        <a:p>
          <a:pPr marL="0" lvl="0" indent="0" algn="l" defTabSz="533400">
            <a:lnSpc>
              <a:spcPct val="90000"/>
            </a:lnSpc>
            <a:spcBef>
              <a:spcPct val="0"/>
            </a:spcBef>
            <a:spcAft>
              <a:spcPct val="35000"/>
            </a:spcAft>
            <a:buNone/>
          </a:pPr>
          <a:r>
            <a:rPr lang="fr-FR" sz="1200" b="1" u="sng" kern="1200" dirty="0"/>
            <a:t>RÉMUNÉRATION SOUS FORME D’HONORAIRES</a:t>
          </a:r>
        </a:p>
        <a:p>
          <a:pPr marL="0" lvl="0" indent="0" algn="l" defTabSz="533400">
            <a:lnSpc>
              <a:spcPct val="90000"/>
            </a:lnSpc>
            <a:spcBef>
              <a:spcPct val="0"/>
            </a:spcBef>
            <a:spcAft>
              <a:spcPct val="35000"/>
            </a:spcAft>
            <a:buNone/>
          </a:pPr>
          <a:r>
            <a:rPr lang="fr-FR" sz="1000" b="1" kern="1200" dirty="0"/>
            <a:t>Si l’intervenant relève du statut de travailleur indépendant et possède un numéro de SIRET, il peut être rémunéré sous forme d’honoraires en fournissant à la structure qui l’emploie une note d’honoraires.  </a:t>
          </a:r>
        </a:p>
        <a:p>
          <a:pPr marL="0" lvl="0" indent="0" algn="l" defTabSz="533400">
            <a:lnSpc>
              <a:spcPct val="90000"/>
            </a:lnSpc>
            <a:spcBef>
              <a:spcPct val="0"/>
            </a:spcBef>
            <a:spcAft>
              <a:spcPct val="35000"/>
            </a:spcAft>
            <a:buNone/>
          </a:pPr>
          <a:endParaRPr lang="fr-FR" sz="1600" b="1" kern="1200" dirty="0"/>
        </a:p>
      </dsp:txBody>
      <dsp:txXfrm>
        <a:off x="701115" y="1021742"/>
        <a:ext cx="7972241" cy="711813"/>
      </dsp:txXfrm>
    </dsp:sp>
    <dsp:sp modelId="{41DF4784-0250-47FC-8EDB-122BA23A5C4B}">
      <dsp:nvSpPr>
        <dsp:cNvPr id="0" name=""/>
        <dsp:cNvSpPr/>
      </dsp:nvSpPr>
      <dsp:spPr>
        <a:xfrm>
          <a:off x="473875" y="995571"/>
          <a:ext cx="684618" cy="745101"/>
        </a:xfrm>
        <a:prstGeom prst="ellipse">
          <a:avLst/>
        </a:prstGeom>
        <a:solidFill>
          <a:schemeClr val="lt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8F5DFF8-8837-4195-8815-C0D208009D13}">
      <dsp:nvSpPr>
        <dsp:cNvPr id="0" name=""/>
        <dsp:cNvSpPr/>
      </dsp:nvSpPr>
      <dsp:spPr>
        <a:xfrm>
          <a:off x="1021319" y="1847849"/>
          <a:ext cx="7850654" cy="1886004"/>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95353" tIns="30480" rIns="30480" bIns="30480" numCol="1" spcCol="1270" anchor="ctr" anchorCtr="0">
          <a:noAutofit/>
        </a:bodyPr>
        <a:lstStyle/>
        <a:p>
          <a:pPr marL="0" lvl="0" indent="0" algn="l" defTabSz="533400">
            <a:lnSpc>
              <a:spcPct val="90000"/>
            </a:lnSpc>
            <a:spcBef>
              <a:spcPct val="0"/>
            </a:spcBef>
            <a:spcAft>
              <a:spcPct val="35000"/>
            </a:spcAft>
            <a:buNone/>
          </a:pPr>
          <a:endParaRPr lang="fr-FR" sz="1200" b="1" u="sng" kern="1200" dirty="0"/>
        </a:p>
        <a:p>
          <a:pPr marL="0" lvl="0" indent="0" algn="l" defTabSz="533400">
            <a:lnSpc>
              <a:spcPct val="90000"/>
            </a:lnSpc>
            <a:spcBef>
              <a:spcPct val="0"/>
            </a:spcBef>
            <a:spcAft>
              <a:spcPct val="35000"/>
            </a:spcAft>
            <a:buNone/>
          </a:pPr>
          <a:endParaRPr lang="fr-FR" sz="800" b="1" u="sng" kern="1200" dirty="0"/>
        </a:p>
        <a:p>
          <a:pPr marL="0" lvl="0" indent="0" algn="l" defTabSz="533400">
            <a:lnSpc>
              <a:spcPct val="90000"/>
            </a:lnSpc>
            <a:spcBef>
              <a:spcPct val="0"/>
            </a:spcBef>
            <a:spcAft>
              <a:spcPct val="35000"/>
            </a:spcAft>
            <a:buNone/>
          </a:pPr>
          <a:r>
            <a:rPr lang="fr-FR" sz="1200" b="1" u="sng" kern="1200" dirty="0"/>
            <a:t>RÉMUNÉRATION SOUS FORME DE DROITS D’AUTEUR</a:t>
          </a:r>
        </a:p>
        <a:p>
          <a:pPr marL="0" lvl="0" indent="0" algn="l" defTabSz="533400">
            <a:lnSpc>
              <a:spcPct val="90000"/>
            </a:lnSpc>
            <a:spcBef>
              <a:spcPct val="0"/>
            </a:spcBef>
            <a:spcAft>
              <a:spcPct val="35000"/>
            </a:spcAft>
            <a:buNone/>
          </a:pPr>
          <a:r>
            <a:rPr lang="fr-FR" sz="1000" b="1" kern="1200" dirty="0"/>
            <a:t>Un auteur cède ses droits patrimoniaux sur une œuvre pour l’exploitation par une bibliothèque. Il s’agit des revenus issus de la création, l’utilisation, la diffusion d’une œuvre (une lecture publique par exemple). Lauteur doit fournir une note de droits d'auteur et deux situations sont alors possibles :</a:t>
          </a:r>
        </a:p>
        <a:p>
          <a:pPr marL="0" lvl="0" indent="0" algn="l" defTabSz="533400">
            <a:lnSpc>
              <a:spcPct val="90000"/>
            </a:lnSpc>
            <a:spcBef>
              <a:spcPct val="0"/>
            </a:spcBef>
            <a:spcAft>
              <a:spcPct val="35000"/>
            </a:spcAft>
            <a:buNone/>
          </a:pPr>
          <a:r>
            <a:rPr lang="fr-FR" sz="1000" b="1" kern="1200" dirty="0"/>
            <a:t>=&gt; Soit l'auteur est dispensé de précompte. Il doit l'indiquer sur sa note et fournir une attestation de dispense. L'employeur ne déclare sur le site de l'URSSAF qu'une partie des charges (1,10 % de contributions diffuseur).</a:t>
          </a:r>
        </a:p>
        <a:p>
          <a:pPr marL="0" lvl="0" indent="0" algn="l" defTabSz="533400">
            <a:lnSpc>
              <a:spcPct val="90000"/>
            </a:lnSpc>
            <a:spcBef>
              <a:spcPct val="0"/>
            </a:spcBef>
            <a:spcAft>
              <a:spcPct val="35000"/>
            </a:spcAft>
            <a:buNone/>
          </a:pPr>
          <a:r>
            <a:rPr lang="fr-FR" sz="1000" b="1" kern="1200" dirty="0"/>
            <a:t>=&gt; Soit l'auteur est précompté et le précompte est à calculer.</a:t>
          </a:r>
        </a:p>
        <a:p>
          <a:pPr marL="0" lvl="0" indent="0" algn="l" defTabSz="533400">
            <a:lnSpc>
              <a:spcPct val="90000"/>
            </a:lnSpc>
            <a:spcBef>
              <a:spcPct val="0"/>
            </a:spcBef>
            <a:spcAft>
              <a:spcPct val="35000"/>
            </a:spcAft>
            <a:buNone/>
          </a:pPr>
          <a:r>
            <a:rPr lang="fr-FR" sz="1000" b="1" kern="1200" dirty="0">
              <a:solidFill>
                <a:schemeClr val="bg1"/>
              </a:solidFill>
            </a:rPr>
            <a:t> La Société des Gens de Lettres (SGDL) propose sur son site des </a:t>
          </a:r>
          <a:r>
            <a:rPr lang="fr-FR" sz="1000" b="1" kern="1200" dirty="0">
              <a:solidFill>
                <a:schemeClr val="bg1"/>
              </a:solidFill>
              <a:hlinkClick xmlns:r="http://schemas.openxmlformats.org/officeDocument/2006/relationships" r:id="rId1">
                <a:extLst>
                  <a:ext uri="{A12FA001-AC4F-418D-AE19-62706E023703}">
                    <ahyp:hlinkClr xmlns:ahyp="http://schemas.microsoft.com/office/drawing/2018/hyperlinkcolor" val="tx"/>
                  </a:ext>
                </a:extLst>
              </a:hlinkClick>
            </a:rPr>
            <a:t>modèles de notes </a:t>
          </a:r>
          <a:r>
            <a:rPr lang="fr-FR" sz="1000" b="1" kern="1200" dirty="0">
              <a:solidFill>
                <a:schemeClr val="bg1"/>
              </a:solidFill>
            </a:rPr>
            <a:t>et une </a:t>
          </a:r>
          <a:r>
            <a:rPr lang="fr-FR" sz="1000" b="1" kern="1200" dirty="0">
              <a:solidFill>
                <a:schemeClr val="bg1"/>
              </a:solidFill>
              <a:hlinkClick xmlns:r="http://schemas.openxmlformats.org/officeDocument/2006/relationships" r:id="rId2">
                <a:extLst>
                  <a:ext uri="{A12FA001-AC4F-418D-AE19-62706E023703}">
                    <ahyp:hlinkClr xmlns:ahyp="http://schemas.microsoft.com/office/drawing/2018/hyperlinkcolor" val="tx"/>
                  </a:ext>
                </a:extLst>
              </a:hlinkClick>
            </a:rPr>
            <a:t>calculette en ligne </a:t>
          </a:r>
          <a:r>
            <a:rPr lang="fr-FR" sz="1000" b="1" kern="1200" dirty="0">
              <a:solidFill>
                <a:schemeClr val="bg1"/>
              </a:solidFill>
            </a:rPr>
            <a:t>pour le détail des retenues sociales. </a:t>
          </a:r>
        </a:p>
        <a:p>
          <a:pPr marL="0" lvl="0" indent="0" algn="l" defTabSz="533400">
            <a:lnSpc>
              <a:spcPct val="90000"/>
            </a:lnSpc>
            <a:spcBef>
              <a:spcPct val="0"/>
            </a:spcBef>
            <a:spcAft>
              <a:spcPct val="35000"/>
            </a:spcAft>
            <a:buNone/>
          </a:pPr>
          <a:r>
            <a:rPr lang="fr-FR" sz="1000" b="1" kern="1200" dirty="0">
              <a:solidFill>
                <a:schemeClr val="bg1"/>
              </a:solidFill>
            </a:rPr>
            <a:t>Paiement nécessaire auprès de l’URSSAF Limousin et fourniture à l’auteur d’un certificat de précompte généré par l’URSSAF. Il faut également déclarer auprès de l’URSSAF le statut de l’auteur.  </a:t>
          </a:r>
        </a:p>
        <a:p>
          <a:pPr marL="0" lvl="0" indent="0" algn="l" defTabSz="533400">
            <a:lnSpc>
              <a:spcPct val="90000"/>
            </a:lnSpc>
            <a:spcBef>
              <a:spcPct val="0"/>
            </a:spcBef>
            <a:spcAft>
              <a:spcPct val="35000"/>
            </a:spcAft>
            <a:buNone/>
          </a:pPr>
          <a:endParaRPr lang="fr-FR" sz="1000" b="0" kern="1200" dirty="0"/>
        </a:p>
        <a:p>
          <a:pPr marL="0" lvl="0" indent="0" algn="l" defTabSz="533400">
            <a:lnSpc>
              <a:spcPct val="90000"/>
            </a:lnSpc>
            <a:spcBef>
              <a:spcPct val="0"/>
            </a:spcBef>
            <a:spcAft>
              <a:spcPct val="35000"/>
            </a:spcAft>
            <a:buNone/>
          </a:pPr>
          <a:endParaRPr lang="fr-FR" sz="1000" b="0" kern="1200" dirty="0"/>
        </a:p>
      </dsp:txBody>
      <dsp:txXfrm>
        <a:off x="1021319" y="1847849"/>
        <a:ext cx="7850654" cy="1886004"/>
      </dsp:txXfrm>
    </dsp:sp>
    <dsp:sp modelId="{3B782175-2263-4B63-B00C-A902769A1668}">
      <dsp:nvSpPr>
        <dsp:cNvPr id="0" name=""/>
        <dsp:cNvSpPr/>
      </dsp:nvSpPr>
      <dsp:spPr>
        <a:xfrm>
          <a:off x="510988" y="1828801"/>
          <a:ext cx="969760" cy="1886004"/>
        </a:xfrm>
        <a:prstGeom prst="ellipse">
          <a:avLst/>
        </a:prstGeom>
        <a:solidFill>
          <a:schemeClr val="lt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594305C-4740-4233-BA50-35876709485C}">
      <dsp:nvSpPr>
        <dsp:cNvPr id="0" name=""/>
        <dsp:cNvSpPr/>
      </dsp:nvSpPr>
      <dsp:spPr>
        <a:xfrm>
          <a:off x="311328" y="3848101"/>
          <a:ext cx="8263814" cy="1016709"/>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95353" tIns="30480" rIns="30480" bIns="30480" numCol="1" spcCol="1270" anchor="ctr" anchorCtr="0">
          <a:noAutofit/>
        </a:bodyPr>
        <a:lstStyle/>
        <a:p>
          <a:pPr marL="0" lvl="0" indent="0" algn="l" defTabSz="533400">
            <a:lnSpc>
              <a:spcPct val="90000"/>
            </a:lnSpc>
            <a:spcBef>
              <a:spcPct val="0"/>
            </a:spcBef>
            <a:spcAft>
              <a:spcPct val="35000"/>
            </a:spcAft>
            <a:buNone/>
          </a:pPr>
          <a:endParaRPr lang="fr-FR" sz="1200" b="1" u="sng" kern="1200" dirty="0"/>
        </a:p>
        <a:p>
          <a:pPr marL="0" lvl="0" indent="0" algn="l" defTabSz="533400">
            <a:lnSpc>
              <a:spcPct val="90000"/>
            </a:lnSpc>
            <a:spcBef>
              <a:spcPct val="0"/>
            </a:spcBef>
            <a:spcAft>
              <a:spcPct val="35000"/>
            </a:spcAft>
            <a:buNone/>
          </a:pPr>
          <a:r>
            <a:rPr lang="fr-FR" sz="1200" b="1" u="sng" kern="1200" dirty="0"/>
            <a:t>RÉMUNÉRATION SOUS FORME DE SALARIAT</a:t>
          </a:r>
        </a:p>
        <a:p>
          <a:pPr marL="0" lvl="0" indent="0" algn="l" defTabSz="533400">
            <a:lnSpc>
              <a:spcPct val="90000"/>
            </a:lnSpc>
            <a:spcBef>
              <a:spcPct val="0"/>
            </a:spcBef>
            <a:spcAft>
              <a:spcPct val="35000"/>
            </a:spcAft>
            <a:buNone/>
          </a:pPr>
          <a:r>
            <a:rPr lang="fr-FR" sz="1000" b="1" u="none" kern="1200" dirty="0"/>
            <a:t>La rémunération par salariat induit la rédaction d’un contrat de travail pour l’employeur (CDD). Toutes les charges (patronales et salariales) lui incombent alors – et il doit respecter les conventions collectives. Le dispositif </a:t>
          </a:r>
          <a:r>
            <a:rPr lang="fr-FR" sz="1000" b="1" u="none" kern="1200" dirty="0">
              <a:solidFill>
                <a:schemeClr val="bg1"/>
              </a:solidFill>
              <a:hlinkClick xmlns:r="http://schemas.openxmlformats.org/officeDocument/2006/relationships" r:id="rId3">
                <a:extLst>
                  <a:ext uri="{A12FA001-AC4F-418D-AE19-62706E023703}">
                    <ahyp:hlinkClr xmlns:ahyp="http://schemas.microsoft.com/office/drawing/2018/hyperlinkcolor" val="tx"/>
                  </a:ext>
                </a:extLst>
              </a:hlinkClick>
            </a:rPr>
            <a:t>GUSO</a:t>
          </a:r>
          <a:r>
            <a:rPr lang="fr-FR" sz="1000" b="1" u="none" kern="1200" dirty="0">
              <a:solidFill>
                <a:schemeClr val="bg1"/>
              </a:solidFill>
            </a:rPr>
            <a:t> </a:t>
          </a:r>
          <a:r>
            <a:rPr lang="fr-FR" sz="1000" b="1" u="none" kern="1200" dirty="0"/>
            <a:t>(Guichet Unique du Spectacle Occasionnel) facilite les démarches. </a:t>
          </a:r>
        </a:p>
        <a:p>
          <a:pPr marL="0" lvl="0" indent="0" algn="l" defTabSz="533400">
            <a:lnSpc>
              <a:spcPct val="90000"/>
            </a:lnSpc>
            <a:spcBef>
              <a:spcPct val="0"/>
            </a:spcBef>
            <a:spcAft>
              <a:spcPct val="35000"/>
            </a:spcAft>
            <a:buNone/>
          </a:pPr>
          <a:r>
            <a:rPr lang="fr-FR" sz="1000" b="1" u="none" kern="1200" dirty="0"/>
            <a:t>Si vous vous trouvez dans ce cas de figure, rapprochez-vous du service RH de votre collectivité.</a:t>
          </a:r>
        </a:p>
        <a:p>
          <a:pPr marL="0" lvl="0" indent="0" algn="l" defTabSz="533400">
            <a:lnSpc>
              <a:spcPct val="90000"/>
            </a:lnSpc>
            <a:spcBef>
              <a:spcPct val="0"/>
            </a:spcBef>
            <a:spcAft>
              <a:spcPct val="35000"/>
            </a:spcAft>
            <a:buNone/>
          </a:pPr>
          <a:endParaRPr lang="fr-FR" sz="1000" b="1" u="none" kern="1200" dirty="0"/>
        </a:p>
      </dsp:txBody>
      <dsp:txXfrm>
        <a:off x="311328" y="3848101"/>
        <a:ext cx="8263814" cy="1016709"/>
      </dsp:txXfrm>
    </dsp:sp>
    <dsp:sp modelId="{A3757504-4E31-4BB6-A41C-AA8F5ED64D3F}">
      <dsp:nvSpPr>
        <dsp:cNvPr id="0" name=""/>
        <dsp:cNvSpPr/>
      </dsp:nvSpPr>
      <dsp:spPr>
        <a:xfrm>
          <a:off x="97674" y="3842371"/>
          <a:ext cx="568332" cy="1033158"/>
        </a:xfrm>
        <a:prstGeom prst="ellipse">
          <a:avLst/>
        </a:prstGeom>
        <a:solidFill>
          <a:schemeClr val="lt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44AD9-1A60-4285-BF1D-0454BA447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5</Pages>
  <Words>565</Words>
  <Characters>3108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CD44</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NAUDE-DIAZ Guillaume</dc:creator>
  <cp:keywords/>
  <dc:description/>
  <cp:lastModifiedBy>CHEVILLON Quentin</cp:lastModifiedBy>
  <cp:revision>6</cp:revision>
  <dcterms:created xsi:type="dcterms:W3CDTF">2022-10-12T13:15:00Z</dcterms:created>
  <dcterms:modified xsi:type="dcterms:W3CDTF">2023-06-19T13:17:00Z</dcterms:modified>
</cp:coreProperties>
</file>